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9809" w14:textId="2E09745B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78173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DC6FA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DC6FA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4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DC6FA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NOVEMBRO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78C0F57C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DC6FA0">
        <w:rPr>
          <w:rFonts w:ascii="Arial" w:hAnsi="Arial" w:cs="Arial"/>
          <w:bCs/>
          <w:color w:val="222222"/>
          <w:sz w:val="24"/>
          <w:szCs w:val="24"/>
        </w:rPr>
        <w:t>quarto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DC6FA0">
        <w:rPr>
          <w:rFonts w:ascii="Arial" w:hAnsi="Arial" w:cs="Arial"/>
          <w:bCs/>
          <w:color w:val="222222"/>
          <w:sz w:val="24"/>
          <w:szCs w:val="24"/>
        </w:rPr>
        <w:t>novembro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781737">
        <w:rPr>
          <w:rFonts w:ascii="Arial" w:hAnsi="Arial" w:cs="Arial"/>
          <w:bCs/>
          <w:color w:val="222222"/>
          <w:sz w:val="24"/>
          <w:szCs w:val="24"/>
        </w:rPr>
        <w:t>2</w:t>
      </w:r>
      <w:r w:rsidR="00DC6FA0">
        <w:rPr>
          <w:rFonts w:ascii="Arial" w:hAnsi="Arial" w:cs="Arial"/>
          <w:bCs/>
          <w:color w:val="222222"/>
          <w:sz w:val="24"/>
          <w:szCs w:val="24"/>
        </w:rPr>
        <w:t>1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ª Reunião Plenária 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>Ordinária</w:t>
      </w:r>
      <w:r w:rsidR="006B0DAA" w:rsidRPr="005D2259">
        <w:rPr>
          <w:rFonts w:ascii="Arial" w:hAnsi="Arial" w:cs="Arial"/>
          <w:bCs/>
          <w:color w:val="222222"/>
          <w:sz w:val="24"/>
          <w:szCs w:val="24"/>
        </w:rPr>
        <w:t>,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5D2259">
        <w:rPr>
          <w:rFonts w:ascii="Arial" w:hAnsi="Arial" w:cs="Arial"/>
          <w:bCs/>
          <w:color w:val="222222"/>
          <w:sz w:val="24"/>
          <w:szCs w:val="24"/>
        </w:rPr>
        <w:t xml:space="preserve">a presença </w:t>
      </w:r>
      <w:r w:rsidR="009E2CB1" w:rsidRPr="00D63A63">
        <w:rPr>
          <w:rFonts w:ascii="Arial" w:hAnsi="Arial" w:cs="Arial"/>
          <w:bCs/>
          <w:color w:val="222222"/>
          <w:sz w:val="24"/>
          <w:szCs w:val="24"/>
        </w:rPr>
        <w:t>dos Conselheiros</w:t>
      </w:r>
      <w:r w:rsidR="00B05606" w:rsidRPr="00D63A63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D63A63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D63A63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Giovanni Baptista Borges</w:t>
      </w:r>
      <w:r w:rsidR="005D2259" w:rsidRPr="00D63A63">
        <w:rPr>
          <w:rFonts w:ascii="Arial" w:hAnsi="Arial" w:cs="Arial"/>
          <w:b/>
          <w:bCs/>
          <w:color w:val="222222"/>
          <w:sz w:val="24"/>
          <w:szCs w:val="24"/>
        </w:rPr>
        <w:t>, Janaína de Holanda Camilo</w:t>
      </w:r>
      <w:r w:rsidR="00F73741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, Juliana Guimarães,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Anna Carolina Cruz Veiga de Almeida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90C1D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Celina Fernandes Almeida Manso,</w:t>
      </w:r>
      <w:r w:rsid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Roberto Cintra Campos</w:t>
      </w:r>
      <w:r w:rsidR="00D63A63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Thais Valle Di Simoni e</w:t>
      </w:r>
      <w:r w:rsidR="00D63A63" w:rsidRPr="00D63A63">
        <w:t xml:space="preserve">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Flávia de Lacerda </w:t>
      </w:r>
      <w:proofErr w:type="spellStart"/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Bukzem</w:t>
      </w:r>
      <w:proofErr w:type="spellEnd"/>
      <w:r w:rsidR="007C56B0" w:rsidRPr="00D63A63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F73741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Na condição de ouvintes, presentes os Conselheiros Suplentes David Alves </w:t>
      </w:r>
      <w:proofErr w:type="spellStart"/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>Finotti</w:t>
      </w:r>
      <w:proofErr w:type="spellEnd"/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spellStart"/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>Camardelli</w:t>
      </w:r>
      <w:proofErr w:type="spellEnd"/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 de </w:t>
      </w:r>
      <w:proofErr w:type="spellStart"/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>Azerêdo</w:t>
      </w:r>
      <w:proofErr w:type="spellEnd"/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 e João Eduardo da Silveira Gonzaga </w:t>
      </w:r>
      <w:r w:rsidR="007D26EA" w:rsidRPr="00D63A63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D63A63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D63A63">
        <w:rPr>
          <w:rFonts w:ascii="Arial" w:hAnsi="Arial" w:cs="Arial"/>
          <w:b/>
          <w:color w:val="222222"/>
          <w:sz w:val="24"/>
          <w:szCs w:val="24"/>
        </w:rPr>
        <w:t xml:space="preserve">Isabel </w:t>
      </w:r>
      <w:proofErr w:type="spellStart"/>
      <w:r w:rsidR="00C41B17" w:rsidRPr="00D63A63">
        <w:rPr>
          <w:rFonts w:ascii="Arial" w:hAnsi="Arial" w:cs="Arial"/>
          <w:b/>
          <w:color w:val="222222"/>
          <w:sz w:val="24"/>
          <w:szCs w:val="24"/>
        </w:rPr>
        <w:t>Barêa</w:t>
      </w:r>
      <w:proofErr w:type="spellEnd"/>
      <w:r w:rsidR="00C41B17" w:rsidRPr="00D63A63">
        <w:rPr>
          <w:rFonts w:ascii="Arial" w:hAnsi="Arial" w:cs="Arial"/>
          <w:b/>
          <w:color w:val="222222"/>
          <w:sz w:val="24"/>
          <w:szCs w:val="24"/>
        </w:rPr>
        <w:t xml:space="preserve"> Pastore </w:t>
      </w:r>
      <w:r w:rsidR="00C41B17" w:rsidRPr="00D63A63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D63A63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D63A63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 w:rsidRPr="00D63A63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D63A63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614181" w:rsidRPr="00D63A63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C405CB" w:rsidRPr="00D63A63">
        <w:rPr>
          <w:rFonts w:ascii="Arial" w:hAnsi="Arial" w:cs="Arial"/>
          <w:bCs/>
          <w:color w:val="222222"/>
          <w:sz w:val="24"/>
          <w:szCs w:val="24"/>
        </w:rPr>
        <w:t>)</w:t>
      </w:r>
      <w:r w:rsidR="00137AA2" w:rsidRPr="00D63A63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spellStart"/>
      <w:r w:rsidR="00272C3E" w:rsidRPr="00D63A63">
        <w:rPr>
          <w:rFonts w:ascii="Arial" w:hAnsi="Arial" w:cs="Arial"/>
          <w:b/>
          <w:bCs/>
          <w:color w:val="222222"/>
          <w:sz w:val="24"/>
          <w:szCs w:val="24"/>
        </w:rPr>
        <w:t>Leonidia</w:t>
      </w:r>
      <w:proofErr w:type="spellEnd"/>
      <w:r w:rsidR="00272C3E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Cristina Leão 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>(</w:t>
      </w:r>
      <w:r w:rsidR="00614181" w:rsidRPr="00D63A63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D63A63">
        <w:rPr>
          <w:rFonts w:ascii="Arial" w:hAnsi="Arial" w:cs="Arial"/>
          <w:bCs/>
          <w:color w:val="222222"/>
          <w:sz w:val="24"/>
          <w:szCs w:val="24"/>
        </w:rPr>
        <w:t>.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D63A63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D63A63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D63A63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D63A63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D63A63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D63A63">
        <w:rPr>
          <w:rFonts w:ascii="Arial" w:hAnsi="Arial" w:cs="Arial"/>
          <w:bCs/>
          <w:color w:val="222222"/>
          <w:sz w:val="24"/>
          <w:szCs w:val="24"/>
        </w:rPr>
        <w:t>verificou o quórum e declarou aberta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DC6FA0">
        <w:rPr>
          <w:rFonts w:ascii="Arial" w:hAnsi="Arial" w:cs="Arial"/>
          <w:b/>
          <w:bCs/>
          <w:color w:val="222222"/>
          <w:sz w:val="24"/>
          <w:szCs w:val="24"/>
        </w:rPr>
        <w:t>7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</w:t>
      </w:r>
      <w:r w:rsidR="00DC6FA0">
        <w:rPr>
          <w:rFonts w:ascii="Arial" w:hAnsi="Arial" w:cs="Arial"/>
          <w:b/>
          <w:bCs/>
          <w:color w:val="222222"/>
          <w:sz w:val="24"/>
          <w:szCs w:val="24"/>
        </w:rPr>
        <w:t>10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F73741">
        <w:rPr>
          <w:rFonts w:ascii="Arial" w:hAnsi="Arial" w:cs="Arial"/>
          <w:bCs/>
          <w:color w:val="222222"/>
          <w:sz w:val="24"/>
          <w:szCs w:val="24"/>
        </w:rPr>
        <w:t>A Gerente Geral relatou que</w:t>
      </w:r>
      <w:r w:rsidR="005A4B7A">
        <w:rPr>
          <w:rFonts w:ascii="Arial" w:hAnsi="Arial" w:cs="Arial"/>
          <w:bCs/>
          <w:color w:val="222222"/>
          <w:sz w:val="24"/>
          <w:szCs w:val="24"/>
        </w:rPr>
        <w:t xml:space="preserve"> sobre o resultado do Concurso ATHIS Quilombola, e que neste momento encontra-se na fase recursal, aguardando a análise por parte da Comissão Julgadora. Sobre a Premiação de TCC, foram recepcionados 28 trabalhos, os quais serão analisados pela Comissão Julgadora, nos próximos dias. Ademais, na reunião ordinária da CTC, do dia 22/11, a Gerente Geral relatou sobre as diretrizes para a realização do evento de premiação, envolvendo quantitativo de convidados, transmissão, </w:t>
      </w:r>
      <w:r w:rsidR="005A4B7A">
        <w:rPr>
          <w:rFonts w:ascii="Arial" w:hAnsi="Arial" w:cs="Arial"/>
          <w:bCs/>
          <w:color w:val="222222"/>
          <w:sz w:val="24"/>
          <w:szCs w:val="24"/>
        </w:rPr>
        <w:lastRenderedPageBreak/>
        <w:t>distribuição de tempo, etc. Neste tema, para palestrar no evento, conforme encaminhamento da CTC, foram sugeridos os nomes dos seguintes palestrantes para envio de convite, na ordem em que constam: Priscila</w:t>
      </w:r>
      <w:r w:rsidR="008376FF">
        <w:rPr>
          <w:rFonts w:ascii="Arial" w:hAnsi="Arial" w:cs="Arial"/>
          <w:bCs/>
          <w:color w:val="222222"/>
          <w:sz w:val="24"/>
          <w:szCs w:val="24"/>
        </w:rPr>
        <w:t xml:space="preserve"> Magno Neves</w:t>
      </w:r>
      <w:r w:rsidR="005A4B7A">
        <w:rPr>
          <w:rFonts w:ascii="Arial" w:hAnsi="Arial" w:cs="Arial"/>
          <w:bCs/>
          <w:color w:val="222222"/>
          <w:sz w:val="24"/>
          <w:szCs w:val="24"/>
        </w:rPr>
        <w:t xml:space="preserve"> Gabriel, </w:t>
      </w:r>
      <w:proofErr w:type="spellStart"/>
      <w:r w:rsidR="005A4B7A">
        <w:rPr>
          <w:rFonts w:ascii="Arial" w:hAnsi="Arial" w:cs="Arial"/>
          <w:bCs/>
          <w:color w:val="222222"/>
          <w:sz w:val="24"/>
          <w:szCs w:val="24"/>
        </w:rPr>
        <w:t>T</w:t>
      </w:r>
      <w:r w:rsidR="008376FF">
        <w:rPr>
          <w:rFonts w:ascii="Arial" w:hAnsi="Arial" w:cs="Arial"/>
          <w:bCs/>
          <w:color w:val="222222"/>
          <w:sz w:val="24"/>
          <w:szCs w:val="24"/>
        </w:rPr>
        <w:t>h</w:t>
      </w:r>
      <w:r w:rsidR="005A4B7A">
        <w:rPr>
          <w:rFonts w:ascii="Arial" w:hAnsi="Arial" w:cs="Arial"/>
          <w:bCs/>
          <w:color w:val="222222"/>
          <w:sz w:val="24"/>
          <w:szCs w:val="24"/>
        </w:rPr>
        <w:t>amires</w:t>
      </w:r>
      <w:proofErr w:type="spellEnd"/>
      <w:r w:rsidR="005A4B7A">
        <w:rPr>
          <w:rFonts w:ascii="Arial" w:hAnsi="Arial" w:cs="Arial"/>
          <w:bCs/>
          <w:color w:val="222222"/>
          <w:sz w:val="24"/>
          <w:szCs w:val="24"/>
        </w:rPr>
        <w:t xml:space="preserve"> Mendes</w:t>
      </w:r>
      <w:r w:rsidR="008376FF">
        <w:rPr>
          <w:rFonts w:ascii="Arial" w:hAnsi="Arial" w:cs="Arial"/>
          <w:bCs/>
          <w:color w:val="222222"/>
          <w:sz w:val="24"/>
          <w:szCs w:val="24"/>
        </w:rPr>
        <w:t xml:space="preserve"> dos Santos</w:t>
      </w:r>
      <w:r w:rsidR="005A4B7A">
        <w:rPr>
          <w:rFonts w:ascii="Arial" w:hAnsi="Arial" w:cs="Arial"/>
          <w:bCs/>
          <w:color w:val="222222"/>
          <w:sz w:val="24"/>
          <w:szCs w:val="24"/>
        </w:rPr>
        <w:t xml:space="preserve"> e Gabriela</w:t>
      </w:r>
      <w:r w:rsidR="008376FF">
        <w:rPr>
          <w:rFonts w:ascii="Arial" w:hAnsi="Arial" w:cs="Arial"/>
          <w:bCs/>
          <w:color w:val="222222"/>
          <w:sz w:val="24"/>
          <w:szCs w:val="24"/>
        </w:rPr>
        <w:t xml:space="preserve"> de</w:t>
      </w:r>
      <w:r w:rsidR="005A4B7A">
        <w:rPr>
          <w:rFonts w:ascii="Arial" w:hAnsi="Arial" w:cs="Arial"/>
          <w:bCs/>
          <w:color w:val="222222"/>
          <w:sz w:val="24"/>
          <w:szCs w:val="24"/>
        </w:rPr>
        <w:t xml:space="preserve"> Matos</w:t>
      </w:r>
      <w:r w:rsidR="008376FF">
        <w:rPr>
          <w:rFonts w:ascii="Arial" w:hAnsi="Arial" w:cs="Arial"/>
          <w:bCs/>
          <w:color w:val="222222"/>
          <w:sz w:val="24"/>
          <w:szCs w:val="24"/>
        </w:rPr>
        <w:t xml:space="preserve"> Moreira Barbosa</w:t>
      </w:r>
      <w:r w:rsidR="005A4B7A">
        <w:rPr>
          <w:rFonts w:ascii="Arial" w:hAnsi="Arial" w:cs="Arial"/>
          <w:bCs/>
          <w:color w:val="222222"/>
          <w:sz w:val="24"/>
          <w:szCs w:val="24"/>
        </w:rPr>
        <w:t>.</w:t>
      </w:r>
      <w:r w:rsidR="009E7CEB">
        <w:rPr>
          <w:rFonts w:ascii="Arial" w:hAnsi="Arial" w:cs="Arial"/>
          <w:bCs/>
          <w:color w:val="222222"/>
          <w:sz w:val="24"/>
          <w:szCs w:val="24"/>
        </w:rPr>
        <w:t xml:space="preserve"> Para o evento, como representantes do CAU/GO, comparecerão o Presidente, a Vice-Presidente e a Coordenadora da CTC.</w:t>
      </w:r>
      <w:r w:rsidR="005A4B7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80A08">
        <w:rPr>
          <w:rFonts w:ascii="Arial" w:hAnsi="Arial" w:cs="Arial"/>
          <w:bCs/>
          <w:color w:val="222222"/>
          <w:sz w:val="24"/>
          <w:szCs w:val="24"/>
        </w:rPr>
        <w:t>Prosseguindo, Isabel informou que recebeu representantes da CMTC, que está com uma demanda para realização de concurso para novos pontos de ônibus da capital, e que o CAU/GO poderia ser um parceiro na realização do certame. As diretrizes ainda estão em fase de estudo, mas o contato inicial é no intuito de alinhar os interesses entre o órgão e o CAU/GO.</w:t>
      </w:r>
      <w:r w:rsidR="00544B20">
        <w:rPr>
          <w:rFonts w:ascii="Arial" w:hAnsi="Arial" w:cs="Arial"/>
          <w:bCs/>
          <w:color w:val="222222"/>
          <w:sz w:val="24"/>
          <w:szCs w:val="24"/>
        </w:rPr>
        <w:t xml:space="preserve"> Sendo assim, posto em discussão e aprovação, os Conselheiros aprovaram por suspender o concurso em parceria com a AGEHAB para desenvolver, mediante termo de cooperação técnica, com a CMTC, o concurso para mobiliário urbano (pontos de ônibus). Os representantes serão convidados a participar da próxima reunião ordinária da CPUA.</w:t>
      </w:r>
      <w:r w:rsidR="00680A0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66939">
        <w:rPr>
          <w:rFonts w:ascii="Arial" w:hAnsi="Arial" w:cs="Arial"/>
          <w:bCs/>
          <w:color w:val="222222"/>
          <w:sz w:val="24"/>
          <w:szCs w:val="24"/>
        </w:rPr>
        <w:t xml:space="preserve">Por fim, </w:t>
      </w:r>
      <w:r w:rsidR="009B33E9">
        <w:rPr>
          <w:rFonts w:ascii="Arial" w:hAnsi="Arial" w:cs="Arial"/>
          <w:bCs/>
          <w:color w:val="222222"/>
          <w:sz w:val="24"/>
          <w:szCs w:val="24"/>
        </w:rPr>
        <w:t>Isabel alinhou os eventos de final de ano</w:t>
      </w:r>
      <w:r w:rsidR="00FD0D6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D2D80">
        <w:rPr>
          <w:rFonts w:ascii="Arial" w:hAnsi="Arial" w:cs="Arial"/>
          <w:bCs/>
          <w:color w:val="222222"/>
          <w:sz w:val="24"/>
          <w:szCs w:val="24"/>
        </w:rPr>
        <w:t>d</w:t>
      </w:r>
      <w:r w:rsidR="00FD0D64">
        <w:rPr>
          <w:rFonts w:ascii="Arial" w:hAnsi="Arial" w:cs="Arial"/>
          <w:bCs/>
          <w:color w:val="222222"/>
          <w:sz w:val="24"/>
          <w:szCs w:val="24"/>
        </w:rPr>
        <w:t xml:space="preserve">o CAU/GO </w:t>
      </w:r>
      <w:r w:rsidR="009B33E9">
        <w:rPr>
          <w:rFonts w:ascii="Arial" w:hAnsi="Arial" w:cs="Arial"/>
          <w:bCs/>
          <w:color w:val="222222"/>
          <w:sz w:val="24"/>
          <w:szCs w:val="24"/>
        </w:rPr>
        <w:t>e as indicações dos Conselheiros que participarão.</w:t>
      </w:r>
      <w:r w:rsidR="008829F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C500BF">
        <w:rPr>
          <w:rFonts w:ascii="Arial" w:hAnsi="Arial" w:cs="Arial"/>
          <w:b/>
          <w:bCs/>
          <w:color w:val="222222"/>
          <w:sz w:val="24"/>
          <w:szCs w:val="24"/>
        </w:rPr>
        <w:t xml:space="preserve"> 1.1.1.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</w:t>
      </w:r>
      <w:proofErr w:type="gramStart"/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Janeiro</w:t>
      </w:r>
      <w:proofErr w:type="gramEnd"/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DC6FA0">
        <w:rPr>
          <w:rFonts w:ascii="Arial" w:hAnsi="Arial" w:cs="Arial"/>
          <w:b/>
          <w:color w:val="222222"/>
          <w:sz w:val="24"/>
          <w:szCs w:val="24"/>
        </w:rPr>
        <w:t>Outubro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A palavra é concedida a </w:t>
      </w:r>
      <w:r w:rsidR="00655E4B">
        <w:rPr>
          <w:rFonts w:ascii="Arial" w:hAnsi="Arial" w:cs="Arial"/>
          <w:color w:val="222222"/>
          <w:sz w:val="24"/>
          <w:szCs w:val="24"/>
        </w:rPr>
        <w:t>Coor</w:t>
      </w:r>
      <w:r w:rsidR="000D2267">
        <w:rPr>
          <w:rFonts w:ascii="Arial" w:hAnsi="Arial" w:cs="Arial"/>
          <w:color w:val="222222"/>
          <w:sz w:val="24"/>
          <w:szCs w:val="24"/>
        </w:rPr>
        <w:t>de</w:t>
      </w:r>
      <w:r w:rsidR="00655E4B">
        <w:rPr>
          <w:rFonts w:ascii="Arial" w:hAnsi="Arial" w:cs="Arial"/>
          <w:color w:val="222222"/>
          <w:sz w:val="24"/>
          <w:szCs w:val="24"/>
        </w:rPr>
        <w:t>n</w:t>
      </w:r>
      <w:r w:rsidR="000D2267">
        <w:rPr>
          <w:rFonts w:ascii="Arial" w:hAnsi="Arial" w:cs="Arial"/>
          <w:color w:val="222222"/>
          <w:sz w:val="24"/>
          <w:szCs w:val="24"/>
        </w:rPr>
        <w:t>a</w:t>
      </w:r>
      <w:r w:rsidR="00655E4B">
        <w:rPr>
          <w:rFonts w:ascii="Arial" w:hAnsi="Arial" w:cs="Arial"/>
          <w:color w:val="222222"/>
          <w:sz w:val="24"/>
          <w:szCs w:val="24"/>
        </w:rPr>
        <w:t xml:space="preserve">dora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que inicia a apresentação relatando que no período de janeiro a </w:t>
      </w:r>
      <w:r w:rsidR="00DC6FA0">
        <w:rPr>
          <w:rFonts w:ascii="Arial" w:hAnsi="Arial" w:cs="Arial"/>
          <w:color w:val="222222"/>
          <w:sz w:val="24"/>
          <w:szCs w:val="24"/>
        </w:rPr>
        <w:t>outubro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 2021, foi realizado R$</w:t>
      </w:r>
      <w:r w:rsidR="000D2267">
        <w:rPr>
          <w:rFonts w:ascii="Arial" w:hAnsi="Arial" w:cs="Arial"/>
          <w:color w:val="222222"/>
          <w:sz w:val="24"/>
          <w:szCs w:val="24"/>
        </w:rPr>
        <w:t xml:space="preserve"> </w:t>
      </w:r>
      <w:r w:rsidR="000D2267" w:rsidRPr="000D2267">
        <w:rPr>
          <w:rFonts w:ascii="Arial" w:hAnsi="Arial" w:cs="Arial"/>
          <w:color w:val="222222"/>
          <w:sz w:val="24"/>
          <w:szCs w:val="24"/>
        </w:rPr>
        <w:t xml:space="preserve">497 mil a mais que o previsto, o que se deve ao maior número de </w:t>
      </w:r>
      <w:proofErr w:type="spellStart"/>
      <w:r w:rsidR="000D2267" w:rsidRPr="000D2267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0D2267" w:rsidRPr="000D2267">
        <w:rPr>
          <w:rFonts w:ascii="Arial" w:hAnsi="Arial" w:cs="Arial"/>
          <w:color w:val="222222"/>
          <w:sz w:val="24"/>
          <w:szCs w:val="24"/>
        </w:rPr>
        <w:t xml:space="preserve">, além do recebimento de anuidades PF, taxas e multas que mantem o saldo crescente na receita. As aplicações, com o aumento da taxa do CDI, no mês de outubro, alcançaram um retorno de 22% em relação ao mês de setembro. O valor realizado no período de janeiro a outubro de 2021 apresentou um aumento de 18%. As receitas foram 14% maiores que o previsto para o período, o que se deve aos maiores recebimentos de anuidades PF, RRT e taxas e multas. O valor realizado de anuidades no período de janeiro a outubro de 2021 apresentou um aumento de 10% em relação ao mesmo período de 2020. As receitas de </w:t>
      </w:r>
      <w:r w:rsidR="000D2267" w:rsidRPr="000D2267">
        <w:rPr>
          <w:rFonts w:ascii="Arial" w:hAnsi="Arial" w:cs="Arial"/>
          <w:color w:val="222222"/>
          <w:sz w:val="24"/>
          <w:szCs w:val="24"/>
        </w:rPr>
        <w:lastRenderedPageBreak/>
        <w:t xml:space="preserve">anuidades foram 3% maiores que o previsto para o período (PF+PJ), o que se deve aos maiores recebimentos de anuidades pessoa física. O valor realizado de RRT no período de janeiro a outubro de 2021 apresentou um aumento de 20% em relação ao mesmo período de 2020. A quantidade de </w:t>
      </w:r>
      <w:proofErr w:type="spellStart"/>
      <w:r w:rsidR="000D2267" w:rsidRPr="000D2267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0D2267" w:rsidRPr="000D2267">
        <w:rPr>
          <w:rFonts w:ascii="Arial" w:hAnsi="Arial" w:cs="Arial"/>
          <w:color w:val="222222"/>
          <w:sz w:val="24"/>
          <w:szCs w:val="24"/>
        </w:rPr>
        <w:t xml:space="preserve"> gerados por profissional no período foi de 5,5 </w:t>
      </w:r>
      <w:proofErr w:type="spellStart"/>
      <w:r w:rsidR="000D2267" w:rsidRPr="000D2267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0D2267" w:rsidRPr="000D2267">
        <w:rPr>
          <w:rFonts w:ascii="Arial" w:hAnsi="Arial" w:cs="Arial"/>
          <w:color w:val="222222"/>
          <w:sz w:val="24"/>
          <w:szCs w:val="24"/>
        </w:rPr>
        <w:t>/profissional, sendo superior à média de 1,9 RRT/profissional dos últimos 3 anos. Podemos observar no gráfico que os valores recebidos em 2021 são mais homogêneos em relação ao ano 2020, mesmo que o gráfico evidência uma queda nos recebimentos. As despesas correntes foram R$ 770 mil menores do que o previsto. Ainda devido à condição da pandemia, os trabalhos continuam sendo realizados em regime híbrido, o que ocasiona redução nos custos de uso da sede física. O valor realizado no período de janeiro a outubro de 2021 foi 19% maior que o realizado no mesmo período de 2020 devido ao aumento dos valores de Fundo de apoio e do Centro de Serviços Compartilhado. Mesmo assim as despesas correntes foram 23% menores que o previsto para o período. No período houve superávit de R$ 1.494.290,00 que foi aplicado em fundo DI, que apresentou rendimento médio mensal de R$ 8.912,29. Estava previsto superávit de R$ 228mil, sendo realizados 556% a mais devido às menores despesas (-23%) e maiores receitas (+14%). As despesas com pessoal atingiram 39,8% da RC</w:t>
      </w:r>
      <w:r w:rsidR="00C02CD1">
        <w:rPr>
          <w:rFonts w:ascii="Arial" w:hAnsi="Arial" w:cs="Arial"/>
          <w:color w:val="222222"/>
          <w:sz w:val="24"/>
          <w:szCs w:val="24"/>
        </w:rPr>
        <w:t>L</w:t>
      </w:r>
      <w:r w:rsidR="000D2267">
        <w:rPr>
          <w:rFonts w:ascii="Arial" w:hAnsi="Arial" w:cs="Arial"/>
          <w:color w:val="222222"/>
          <w:sz w:val="24"/>
          <w:szCs w:val="24"/>
        </w:rPr>
        <w:t>.</w:t>
      </w:r>
      <w:r w:rsidR="00D164BB">
        <w:rPr>
          <w:rFonts w:ascii="Arial" w:hAnsi="Arial" w:cs="Arial"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55E4B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4A65F4">
        <w:rPr>
          <w:rFonts w:ascii="Arial" w:hAnsi="Arial" w:cs="Arial"/>
          <w:bCs/>
          <w:color w:val="222222"/>
          <w:sz w:val="24"/>
          <w:szCs w:val="24"/>
        </w:rPr>
        <w:t>O</w:t>
      </w:r>
      <w:r w:rsidR="00655E4B">
        <w:rPr>
          <w:rFonts w:ascii="Arial" w:hAnsi="Arial" w:cs="Arial"/>
          <w:bCs/>
          <w:color w:val="222222"/>
          <w:sz w:val="24"/>
          <w:szCs w:val="24"/>
        </w:rPr>
        <w:t xml:space="preserve"> Coordenador</w:t>
      </w:r>
      <w:r w:rsidR="00125CEB">
        <w:rPr>
          <w:rFonts w:ascii="Arial" w:hAnsi="Arial" w:cs="Arial"/>
          <w:bCs/>
          <w:color w:val="222222"/>
          <w:sz w:val="24"/>
          <w:szCs w:val="24"/>
        </w:rPr>
        <w:t xml:space="preserve"> Adjunto</w:t>
      </w:r>
      <w:r w:rsidR="00655E4B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125CEB">
        <w:rPr>
          <w:rFonts w:ascii="Arial" w:hAnsi="Arial" w:cs="Arial"/>
          <w:bCs/>
          <w:color w:val="222222"/>
          <w:sz w:val="24"/>
          <w:szCs w:val="24"/>
        </w:rPr>
        <w:t>Roberto Cintra relatou as atividades da CED, em que foram analisados três processos em retorno, dos quais dois foram inadmitidos e o outro admitido. Por fim, foi distribuída nova denúncia sobre descumprimento contratual, no qual foi solicitada explicações prévias.</w:t>
      </w:r>
      <w:r w:rsidR="00D164BB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55E4B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125CEB">
        <w:rPr>
          <w:rFonts w:ascii="Arial" w:hAnsi="Arial" w:cs="Arial"/>
          <w:bCs/>
          <w:color w:val="222222"/>
          <w:sz w:val="24"/>
          <w:szCs w:val="24"/>
        </w:rPr>
        <w:t>Por ausência do Conselheiro Coordenador e pela não participação da reunião da Adjunta, o Assessor Romeu relatou as atividades da comissão que consistiram, basicamente, no julgamento de seis processos da AFISC, registros e homologação do profissionais e dois processos de registro de pós-graduação.</w:t>
      </w:r>
      <w:r w:rsidR="00D164BB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4466B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4466B6">
        <w:rPr>
          <w:rFonts w:ascii="Arial" w:hAnsi="Arial" w:cs="Arial"/>
          <w:bCs/>
          <w:color w:val="222222"/>
          <w:sz w:val="24"/>
          <w:szCs w:val="24"/>
        </w:rPr>
        <w:t xml:space="preserve">A </w:t>
      </w:r>
      <w:r w:rsidR="004466B6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Conselheira </w:t>
      </w:r>
      <w:r w:rsidR="00544B20">
        <w:rPr>
          <w:rFonts w:ascii="Arial" w:hAnsi="Arial" w:cs="Arial"/>
          <w:bCs/>
          <w:color w:val="222222"/>
          <w:sz w:val="24"/>
          <w:szCs w:val="24"/>
        </w:rPr>
        <w:t xml:space="preserve">Coordenadora solicitou que a Assessora Maria Ester fizesse os relatos da Comissão. Assim, Maria Ester deu destaque para o Fórum de Limpeza Urbana realizado pela Prefeitura Municipal de Goiânia. </w:t>
      </w:r>
      <w:r w:rsidR="00A946D8">
        <w:rPr>
          <w:rFonts w:ascii="Arial" w:hAnsi="Arial" w:cs="Arial"/>
          <w:bCs/>
          <w:color w:val="222222"/>
          <w:sz w:val="24"/>
          <w:szCs w:val="24"/>
        </w:rPr>
        <w:t xml:space="preserve">O destaque deriva da revisão do contrato administrativo de serviços junto à COMURG, especificamente em seu escopo de objetos. Assim, o documento foi enviado ao CAU/GO para análise e coleta de contribuições. </w:t>
      </w:r>
      <w:r w:rsidR="00CC44F8">
        <w:rPr>
          <w:rFonts w:ascii="Arial" w:hAnsi="Arial" w:cs="Arial"/>
          <w:bCs/>
          <w:color w:val="222222"/>
          <w:sz w:val="24"/>
          <w:szCs w:val="24"/>
        </w:rPr>
        <w:t xml:space="preserve">Outra questão destacada foi a perda da cadeira junto ao </w:t>
      </w:r>
      <w:r w:rsidR="00960A31">
        <w:rPr>
          <w:rFonts w:ascii="Arial" w:hAnsi="Arial" w:cs="Arial"/>
          <w:bCs/>
          <w:color w:val="222222"/>
          <w:sz w:val="24"/>
          <w:szCs w:val="24"/>
        </w:rPr>
        <w:t>COMCIDADE</w:t>
      </w:r>
      <w:r w:rsidR="00CC44F8">
        <w:rPr>
          <w:rFonts w:ascii="Arial" w:hAnsi="Arial" w:cs="Arial"/>
          <w:bCs/>
          <w:color w:val="222222"/>
          <w:sz w:val="24"/>
          <w:szCs w:val="24"/>
        </w:rPr>
        <w:t xml:space="preserve"> de Anápolis, em que o envio do convite foi posterior ao preenchimento da vaga por outra entidade. Assim, foi encaminhado novo ofício questionando a mudança e solicitando nova disponibilidade do assento. 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 xml:space="preserve">Temporária de Comunicação 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0134B1">
        <w:rPr>
          <w:rFonts w:ascii="Arial" w:hAnsi="Arial" w:cs="Arial"/>
          <w:bCs/>
          <w:color w:val="222222"/>
          <w:sz w:val="24"/>
          <w:szCs w:val="24"/>
        </w:rPr>
        <w:t>A Conselheira Anna Carolina</w:t>
      </w:r>
      <w:r w:rsidR="00594F14">
        <w:rPr>
          <w:rFonts w:ascii="Arial" w:hAnsi="Arial" w:cs="Arial"/>
          <w:bCs/>
          <w:color w:val="222222"/>
          <w:sz w:val="24"/>
          <w:szCs w:val="24"/>
        </w:rPr>
        <w:t xml:space="preserve"> relatou </w:t>
      </w:r>
      <w:r w:rsidR="00871E9A">
        <w:rPr>
          <w:rFonts w:ascii="Arial" w:hAnsi="Arial" w:cs="Arial"/>
          <w:bCs/>
          <w:color w:val="222222"/>
          <w:sz w:val="24"/>
          <w:szCs w:val="24"/>
        </w:rPr>
        <w:t>as atividades desenvolvidas e analisadas pela Comissão, dando destaque aos eventos do CAU/GO, os quais já foram citados no relato da gerência geral</w:t>
      </w:r>
      <w:r w:rsidR="00984B31">
        <w:rPr>
          <w:rFonts w:ascii="Arial" w:hAnsi="Arial" w:cs="Arial"/>
          <w:bCs/>
          <w:color w:val="222222"/>
          <w:sz w:val="24"/>
          <w:szCs w:val="24"/>
        </w:rPr>
        <w:t>.</w:t>
      </w:r>
      <w:r w:rsidR="0025368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bookmarkStart w:id="1" w:name="_GoBack"/>
      <w:bookmarkEnd w:id="1"/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) Da Gerência Geral.</w:t>
      </w:r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8829F7">
        <w:rPr>
          <w:rFonts w:ascii="Arial" w:hAnsi="Arial" w:cs="Arial"/>
          <w:color w:val="222222"/>
          <w:sz w:val="24"/>
          <w:szCs w:val="24"/>
        </w:rPr>
        <w:t>Para o exercício de 2022, Isabel solicitou a indicação de data para a reunião plenária de janeiro, em que deverá ser analisada a composição das Comissões. Assim, foi sugerida a quinta-feira para as plenárias, de modo que a de janeiro ocorrerá no dia 27/01/2022, que, dentre outras pautas, deliberará o calendário de 2022.</w:t>
      </w:r>
      <w:r w:rsidR="007654C2">
        <w:rPr>
          <w:rFonts w:ascii="Arial" w:hAnsi="Arial" w:cs="Arial"/>
          <w:color w:val="222222"/>
          <w:sz w:val="24"/>
          <w:szCs w:val="24"/>
        </w:rPr>
        <w:t xml:space="preserve"> Por fim, questionou sobre a realização das reuniões presenciais e as intenções dos Conselheiros, uma vez que envolve, dentre outros fatores, a ab</w:t>
      </w:r>
      <w:r w:rsidR="00F90B28">
        <w:rPr>
          <w:rFonts w:ascii="Arial" w:hAnsi="Arial" w:cs="Arial"/>
          <w:color w:val="222222"/>
          <w:sz w:val="24"/>
          <w:szCs w:val="24"/>
        </w:rPr>
        <w:t xml:space="preserve">ertura de processos para serviços de suporte das reuniões. Alguns Conselheiros questionaram se seria possível a participação híbrida, mas Isabel informou que ainda não, por falta de equipamentos, os quais seriam adquiridos nos próximos meses. O Presidente Fernando sugeriu que as Plenárias sejam realizadas, inicialmente, presencial e as Comissões virtuais, até que se viabilize o regime híbrido.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84B31">
        <w:rPr>
          <w:rFonts w:ascii="Arial" w:hAnsi="Arial" w:cs="Arial"/>
          <w:bCs/>
          <w:color w:val="222222"/>
          <w:sz w:val="24"/>
          <w:szCs w:val="24"/>
        </w:rPr>
        <w:t xml:space="preserve">O Presidente Fernando relatou que </w:t>
      </w:r>
      <w:r w:rsidR="00871E9A">
        <w:rPr>
          <w:rFonts w:ascii="Arial" w:hAnsi="Arial" w:cs="Arial"/>
          <w:bCs/>
          <w:color w:val="222222"/>
          <w:sz w:val="24"/>
          <w:szCs w:val="24"/>
        </w:rPr>
        <w:t>no Fórum de Presidentes não ocorreram discussões com conteúdo pertinente a ser relatado na Plenária</w:t>
      </w:r>
      <w:r w:rsidR="00984B31">
        <w:rPr>
          <w:rFonts w:ascii="Arial" w:hAnsi="Arial" w:cs="Arial"/>
          <w:bCs/>
          <w:color w:val="222222"/>
          <w:sz w:val="24"/>
          <w:szCs w:val="24"/>
        </w:rPr>
        <w:t>.</w:t>
      </w:r>
      <w:r w:rsidR="00D164BB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Do CAU/BR.</w:t>
      </w:r>
      <w:r w:rsidR="006719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 w:rsidRPr="004779DB">
        <w:rPr>
          <w:rFonts w:ascii="Arial" w:hAnsi="Arial" w:cs="Arial"/>
          <w:color w:val="000000" w:themeColor="text1"/>
          <w:sz w:val="24"/>
          <w:szCs w:val="24"/>
        </w:rPr>
        <w:t>O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>
        <w:rPr>
          <w:rFonts w:ascii="Arial" w:hAnsi="Arial" w:cs="Arial"/>
          <w:color w:val="000000" w:themeColor="text1"/>
          <w:sz w:val="24"/>
          <w:szCs w:val="24"/>
        </w:rPr>
        <w:t>Conselheiro Federal Nilton</w:t>
      </w:r>
      <w:r w:rsidR="000134B1">
        <w:rPr>
          <w:rFonts w:ascii="Arial" w:hAnsi="Arial" w:cs="Arial"/>
          <w:color w:val="000000" w:themeColor="text1"/>
          <w:sz w:val="24"/>
          <w:szCs w:val="24"/>
        </w:rPr>
        <w:t xml:space="preserve"> não pode comparecer na reunião</w:t>
      </w:r>
      <w:r w:rsidR="00871E9A">
        <w:rPr>
          <w:rFonts w:ascii="Arial" w:hAnsi="Arial" w:cs="Arial"/>
          <w:color w:val="000000" w:themeColor="text1"/>
          <w:sz w:val="24"/>
          <w:szCs w:val="24"/>
        </w:rPr>
        <w:t>, devido sua agenda junto ao CAU/BR</w:t>
      </w:r>
      <w:r w:rsidR="000134B1">
        <w:rPr>
          <w:rFonts w:ascii="Arial" w:hAnsi="Arial" w:cs="Arial"/>
          <w:color w:val="000000" w:themeColor="text1"/>
          <w:sz w:val="24"/>
          <w:szCs w:val="24"/>
        </w:rPr>
        <w:t>.</w:t>
      </w:r>
      <w:r w:rsidR="002536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agradeceu a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lastRenderedPageBreak/>
        <w:t>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14181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DC6FA0">
        <w:rPr>
          <w:rFonts w:ascii="Arial" w:hAnsi="Arial" w:cs="Arial"/>
          <w:bCs/>
          <w:color w:val="222222"/>
          <w:sz w:val="24"/>
          <w:szCs w:val="24"/>
        </w:rPr>
        <w:t>quarto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DC6FA0">
        <w:rPr>
          <w:rFonts w:ascii="Arial" w:hAnsi="Arial" w:cs="Arial"/>
          <w:bCs/>
          <w:color w:val="222222"/>
          <w:sz w:val="24"/>
          <w:szCs w:val="24"/>
        </w:rPr>
        <w:t>novembro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3CAFFB04" w14:textId="77777777" w:rsidR="008D2D58" w:rsidRDefault="008D2D58" w:rsidP="008D2D58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2A3C50" w14:textId="5930B581" w:rsidR="008D2D58" w:rsidRPr="00800CA6" w:rsidRDefault="008D2D58" w:rsidP="008D2D58">
      <w:pPr>
        <w:rPr>
          <w:rFonts w:ascii="Arial" w:hAnsi="Arial" w:cs="Arial"/>
          <w:b/>
          <w:b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D2D58">
        <w:rPr>
          <w:rFonts w:ascii="Arial" w:hAnsi="Arial" w:cs="Arial"/>
          <w:b/>
          <w:bCs/>
          <w:color w:val="00000A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A"/>
          <w:sz w:val="24"/>
          <w:szCs w:val="24"/>
        </w:rPr>
        <w:t xml:space="preserve">                      </w:t>
      </w: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41A625D7" w:rsidR="00B60DD4" w:rsidRPr="008D2D58" w:rsidRDefault="008D2D58" w:rsidP="008D2D58">
      <w:pPr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 do CAU/GO</w:t>
      </w:r>
      <w:r>
        <w:rPr>
          <w:rFonts w:ascii="Arial" w:hAnsi="Arial" w:cs="Arial"/>
          <w:iCs/>
          <w:color w:val="00000A"/>
          <w:sz w:val="24"/>
          <w:szCs w:val="24"/>
        </w:rPr>
        <w:t xml:space="preserve">                                    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sectPr w:rsidR="00B60DD4" w:rsidRPr="008D2D58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456DDCC8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4BB"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4B1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3A8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4CA6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267"/>
    <w:rsid w:val="000D2B25"/>
    <w:rsid w:val="000D2D80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6995"/>
    <w:rsid w:val="00107026"/>
    <w:rsid w:val="00107277"/>
    <w:rsid w:val="00107730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5CEB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AA2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118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884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2F37"/>
    <w:rsid w:val="00184141"/>
    <w:rsid w:val="00184177"/>
    <w:rsid w:val="00184206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6C84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4820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681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67260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A10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910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5FEE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1373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6B6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699"/>
    <w:rsid w:val="004777BB"/>
    <w:rsid w:val="004779D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A41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5F4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4EAB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4B20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4898"/>
    <w:rsid w:val="00594F14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4B7A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5E24"/>
    <w:rsid w:val="005C638C"/>
    <w:rsid w:val="005C669C"/>
    <w:rsid w:val="005C7482"/>
    <w:rsid w:val="005D03B0"/>
    <w:rsid w:val="005D14EF"/>
    <w:rsid w:val="005D1A31"/>
    <w:rsid w:val="005D2259"/>
    <w:rsid w:val="005D2345"/>
    <w:rsid w:val="005D237B"/>
    <w:rsid w:val="005D2921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81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5E4B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9AA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A08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A48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1627"/>
    <w:rsid w:val="006D28BC"/>
    <w:rsid w:val="006D39C6"/>
    <w:rsid w:val="006D431D"/>
    <w:rsid w:val="006D61C0"/>
    <w:rsid w:val="006D64AC"/>
    <w:rsid w:val="006D67C5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1E8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4C2"/>
    <w:rsid w:val="00765821"/>
    <w:rsid w:val="00765EC5"/>
    <w:rsid w:val="00767092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737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0BB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6FF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E9A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9F7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58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1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0A31"/>
    <w:rsid w:val="0096292D"/>
    <w:rsid w:val="00964C8F"/>
    <w:rsid w:val="0096616C"/>
    <w:rsid w:val="009667C1"/>
    <w:rsid w:val="00966939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B3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33E9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E7CEB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07D"/>
    <w:rsid w:val="00A239E5"/>
    <w:rsid w:val="00A23D5F"/>
    <w:rsid w:val="00A241C5"/>
    <w:rsid w:val="00A24CA6"/>
    <w:rsid w:val="00A24D3A"/>
    <w:rsid w:val="00A25BFD"/>
    <w:rsid w:val="00A260EF"/>
    <w:rsid w:val="00A30C95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C6F"/>
    <w:rsid w:val="00A867AC"/>
    <w:rsid w:val="00A879B4"/>
    <w:rsid w:val="00A87E0B"/>
    <w:rsid w:val="00A91FB1"/>
    <w:rsid w:val="00A9263F"/>
    <w:rsid w:val="00A93055"/>
    <w:rsid w:val="00A93486"/>
    <w:rsid w:val="00A93A96"/>
    <w:rsid w:val="00A93CE4"/>
    <w:rsid w:val="00A946D8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B9A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2F2A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459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78C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0F5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2CD1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0BF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1FA0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207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55D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4F8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64BB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59C6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082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A63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A29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5CC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6FA0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953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3BF9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428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2BF7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A52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99F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0F3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397"/>
    <w:rsid w:val="00F26656"/>
    <w:rsid w:val="00F26888"/>
    <w:rsid w:val="00F272CD"/>
    <w:rsid w:val="00F27447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5BE5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3741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0B28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75D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B1E"/>
    <w:rsid w:val="00FC7E0E"/>
    <w:rsid w:val="00FD0B05"/>
    <w:rsid w:val="00FD0CF9"/>
    <w:rsid w:val="00FD0D64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15DDE796"/>
  <w15:docId w15:val="{84F10404-6B62-46FF-B29F-C6FD2291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  <w:style w:type="table" w:styleId="Tabelacomgrade">
    <w:name w:val="Table Grid"/>
    <w:basedOn w:val="Tabelanormal"/>
    <w:uiPriority w:val="59"/>
    <w:rsid w:val="008D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B82075-9E9E-43BF-8954-BDD76FE06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1395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24</cp:revision>
  <cp:lastPrinted>2021-11-24T11:45:00Z</cp:lastPrinted>
  <dcterms:created xsi:type="dcterms:W3CDTF">2021-11-24T11:45:00Z</dcterms:created>
  <dcterms:modified xsi:type="dcterms:W3CDTF">2021-11-29T14:39:00Z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