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07E" w:rsidRDefault="003A085D">
      <w:pPr>
        <w:spacing w:line="271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>SÚMULA DA 125ª REUNIÃO PLENÁRIA ORDINÁRIA, DO CONSELHO DE ARQUITETURA E URBANISMO DE GOIÁS, REALIZADA NO DIA 31 DE MARÇO DE 2022</w:t>
      </w:r>
    </w:p>
    <w:p w:rsidR="0088407E" w:rsidRDefault="0088407E">
      <w:pPr>
        <w:spacing w:line="271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:rsidR="0088407E" w:rsidRDefault="003A085D">
      <w:pPr>
        <w:spacing w:line="271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:rsidR="0088407E" w:rsidRDefault="0088407E">
      <w:pPr>
        <w:spacing w:line="271" w:lineRule="auto"/>
        <w:jc w:val="both"/>
        <w:rPr>
          <w:rFonts w:ascii="Arial" w:hAnsi="Arial" w:cs="Arial"/>
          <w:sz w:val="24"/>
          <w:szCs w:val="24"/>
        </w:rPr>
      </w:pPr>
    </w:p>
    <w:p w:rsidR="0088407E" w:rsidRDefault="003A085D">
      <w:pPr>
        <w:widowControl w:val="0"/>
        <w:numPr>
          <w:ilvl w:val="0"/>
          <w:numId w:val="1"/>
        </w:numPr>
        <w:spacing w:line="276" w:lineRule="auto"/>
        <w:jc w:val="both"/>
        <w:rPr>
          <w:color w:val="000000"/>
        </w:rPr>
      </w:pPr>
      <w:r>
        <w:rPr>
          <w:rFonts w:ascii="Arial" w:hAnsi="Arial" w:cs="Arial"/>
          <w:bCs/>
          <w:sz w:val="24"/>
          <w:szCs w:val="24"/>
        </w:rPr>
        <w:t>Ao trigésimo primeiro dia do mês de março de dois mil e vinte e DOIS, por meio de aplicativo de reuniões virtuais, iniciou-se, em primeira convocação, a 125ª Reunião Plenária Ordinária, com a presença dos Conselheiros Estaduais membros: Fernando Camargo Ch</w:t>
      </w:r>
      <w:r>
        <w:rPr>
          <w:rFonts w:ascii="Arial" w:hAnsi="Arial" w:cs="Arial"/>
          <w:bCs/>
          <w:sz w:val="24"/>
          <w:szCs w:val="24"/>
        </w:rPr>
        <w:t xml:space="preserve">apadeiro, Janaína de Holanda Camilo, Andrey Amador Machado, Giovana Pereira dos Santos, Roberto Cintra Campos, Simone Buiate Brandão, </w:t>
      </w:r>
      <w:r>
        <w:rPr>
          <w:rFonts w:ascii="Arial" w:hAnsi="Arial" w:cs="Arial"/>
          <w:sz w:val="24"/>
          <w:szCs w:val="24"/>
        </w:rPr>
        <w:t xml:space="preserve">Anna Carolina Cruz Veiga de Almeida e Juliana Guimarães de Medeiros. </w:t>
      </w:r>
      <w:r>
        <w:rPr>
          <w:rFonts w:ascii="Arial" w:hAnsi="Arial" w:cs="Arial"/>
          <w:bCs/>
          <w:sz w:val="24"/>
          <w:szCs w:val="24"/>
        </w:rPr>
        <w:t xml:space="preserve">Presentes também os empregados públicos do CAU/GO: </w:t>
      </w:r>
      <w:r>
        <w:rPr>
          <w:rFonts w:ascii="Arial" w:hAnsi="Arial" w:cs="Arial"/>
          <w:b/>
          <w:sz w:val="24"/>
          <w:szCs w:val="24"/>
        </w:rPr>
        <w:t>Is</w:t>
      </w:r>
      <w:r>
        <w:rPr>
          <w:rFonts w:ascii="Arial" w:hAnsi="Arial" w:cs="Arial"/>
          <w:b/>
          <w:sz w:val="24"/>
          <w:szCs w:val="24"/>
        </w:rPr>
        <w:t xml:space="preserve">abel Barêa Pastore </w:t>
      </w:r>
      <w:r>
        <w:rPr>
          <w:rFonts w:ascii="Arial" w:hAnsi="Arial" w:cs="Arial"/>
          <w:bCs/>
          <w:sz w:val="24"/>
          <w:szCs w:val="24"/>
        </w:rPr>
        <w:t xml:space="preserve">(Gerente Geral) e </w:t>
      </w:r>
      <w:r>
        <w:rPr>
          <w:rFonts w:ascii="Arial" w:hAnsi="Arial" w:cs="Arial"/>
          <w:b/>
          <w:bCs/>
          <w:sz w:val="24"/>
          <w:szCs w:val="24"/>
        </w:rPr>
        <w:t>Elisa França</w:t>
      </w:r>
      <w:r>
        <w:rPr>
          <w:rFonts w:ascii="Arial" w:hAnsi="Arial" w:cs="Arial"/>
          <w:bCs/>
          <w:sz w:val="24"/>
          <w:szCs w:val="24"/>
        </w:rPr>
        <w:t xml:space="preserve"> (Assessora de Comunicação).  </w:t>
      </w:r>
      <w:r>
        <w:rPr>
          <w:rFonts w:ascii="Arial" w:hAnsi="Arial" w:cs="Arial"/>
          <w:b/>
          <w:bCs/>
          <w:sz w:val="24"/>
          <w:szCs w:val="24"/>
        </w:rPr>
        <w:t>I)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Verificação de quórum. </w:t>
      </w:r>
      <w:r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 xml:space="preserve">Presidente </w:t>
      </w:r>
      <w:r>
        <w:rPr>
          <w:rFonts w:ascii="Arial" w:hAnsi="Arial" w:cs="Arial"/>
          <w:bCs/>
          <w:sz w:val="24"/>
          <w:szCs w:val="24"/>
        </w:rPr>
        <w:t xml:space="preserve">verificou o quórum e declarou aberta a sessão. </w:t>
      </w:r>
      <w:r>
        <w:rPr>
          <w:rFonts w:ascii="Arial" w:hAnsi="Arial" w:cs="Arial"/>
          <w:b/>
          <w:bCs/>
          <w:sz w:val="24"/>
          <w:szCs w:val="24"/>
        </w:rPr>
        <w:t xml:space="preserve">II) Leitura e discussão da pauta. </w:t>
      </w:r>
      <w:r>
        <w:rPr>
          <w:rFonts w:ascii="Arial" w:hAnsi="Arial" w:cs="Arial"/>
          <w:bCs/>
          <w:sz w:val="24"/>
          <w:szCs w:val="24"/>
        </w:rPr>
        <w:t xml:space="preserve">Pauta aprovada por unanimidade. </w:t>
      </w:r>
      <w:r>
        <w:rPr>
          <w:rFonts w:ascii="Arial" w:hAnsi="Arial" w:cs="Arial"/>
          <w:b/>
          <w:bCs/>
          <w:sz w:val="24"/>
          <w:szCs w:val="24"/>
        </w:rPr>
        <w:t>III) Discussão e aprovaçã</w:t>
      </w:r>
      <w:r>
        <w:rPr>
          <w:rFonts w:ascii="Arial" w:hAnsi="Arial" w:cs="Arial"/>
          <w:b/>
          <w:bCs/>
          <w:sz w:val="24"/>
          <w:szCs w:val="24"/>
        </w:rPr>
        <w:t xml:space="preserve">o da ata da reunião plenária anterior, 24/02/2022. </w:t>
      </w:r>
      <w:r>
        <w:rPr>
          <w:rFonts w:ascii="Arial" w:hAnsi="Arial" w:cs="Arial"/>
          <w:bCs/>
          <w:sz w:val="24"/>
          <w:szCs w:val="24"/>
        </w:rPr>
        <w:t xml:space="preserve">Ata aprovada por unanimidade. </w:t>
      </w:r>
      <w:r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 xml:space="preserve">V) Extrato de Correspondências. </w:t>
      </w:r>
      <w:r>
        <w:rPr>
          <w:rFonts w:ascii="Arial" w:hAnsi="Arial" w:cs="Arial"/>
          <w:bCs/>
          <w:sz w:val="24"/>
          <w:szCs w:val="24"/>
        </w:rPr>
        <w:t>A Gerente Geral Isabel apresentou as principais correspondências enviadas e recebid</w:t>
      </w:r>
      <w:r>
        <w:rPr>
          <w:rFonts w:ascii="Arial" w:hAnsi="Arial" w:cs="Arial"/>
          <w:b/>
          <w:bCs/>
          <w:sz w:val="24"/>
          <w:szCs w:val="24"/>
        </w:rPr>
        <w:t>as. V)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Diárias e ajuda de deslocamento. </w:t>
      </w:r>
      <w:r>
        <w:rPr>
          <w:rFonts w:ascii="Arial" w:hAnsi="Arial" w:cs="Arial"/>
          <w:color w:val="000000"/>
          <w:sz w:val="24"/>
          <w:szCs w:val="24"/>
        </w:rPr>
        <w:t>A Gerente Geral pon</w:t>
      </w:r>
      <w:r>
        <w:rPr>
          <w:rFonts w:ascii="Arial" w:hAnsi="Arial" w:cs="Arial"/>
          <w:color w:val="000000"/>
          <w:sz w:val="24"/>
          <w:szCs w:val="24"/>
        </w:rPr>
        <w:t xml:space="preserve">tuou que sobre </w:t>
      </w:r>
      <w:r>
        <w:rPr>
          <w:rFonts w:ascii="Arial" w:hAnsi="Arial" w:cs="Arial"/>
          <w:sz w:val="24"/>
          <w:szCs w:val="24"/>
        </w:rPr>
        <w:t>a necessidade de revisão dos valores de reembolso por deslocamento em veículo próprio ou alugado e diária, uma vez que, os gastos mínimos necessários não são compatíveis com a atual realidade do país, estando assim, defasados os valores pago</w:t>
      </w:r>
      <w:r>
        <w:rPr>
          <w:rFonts w:ascii="Arial" w:hAnsi="Arial" w:cs="Arial"/>
          <w:sz w:val="24"/>
          <w:szCs w:val="24"/>
        </w:rPr>
        <w:t>s pelo CAU/GO. Após cálculo feito, a Comissão de Administração e Finanças – CAF havia sugerido por meio de Deliberação nº 04/2022 – CAF-CAU/GO a alteração da Deliberação Plenária nº 24/2015, para que fosse pago o valor de R$ 1,60 (um real e sessenta centav</w:t>
      </w:r>
      <w:r>
        <w:rPr>
          <w:rFonts w:ascii="Arial" w:hAnsi="Arial" w:cs="Arial"/>
          <w:sz w:val="24"/>
          <w:szCs w:val="24"/>
        </w:rPr>
        <w:t xml:space="preserve">os) por quilômetro rodado à título de reembolso por deslocamento em veículo próprio ou alugado. Após discussão, os conselheiros homologaram a Deliberação nº 04/2022 – CAF-CAU/GO. </w:t>
      </w:r>
      <w:r>
        <w:rPr>
          <w:rFonts w:ascii="Arial" w:hAnsi="Arial" w:cs="Arial"/>
          <w:b/>
          <w:color w:val="000000"/>
          <w:sz w:val="24"/>
          <w:szCs w:val="24"/>
        </w:rPr>
        <w:t>VI) Honorários de membros da subcomissão técnica de licitação de empresa de p</w:t>
      </w:r>
      <w:r>
        <w:rPr>
          <w:rFonts w:ascii="Arial" w:hAnsi="Arial" w:cs="Arial"/>
          <w:b/>
          <w:color w:val="000000"/>
          <w:sz w:val="24"/>
          <w:szCs w:val="24"/>
        </w:rPr>
        <w:t xml:space="preserve">ublicidade. </w:t>
      </w:r>
      <w:r>
        <w:rPr>
          <w:rFonts w:ascii="Arial" w:hAnsi="Arial" w:cs="Arial"/>
          <w:bCs/>
          <w:color w:val="000000"/>
          <w:sz w:val="24"/>
          <w:szCs w:val="24"/>
        </w:rPr>
        <w:t>A Gerente Geral relatou que os membros da referida subcomissão deveriam receber uma remuneração por reunião realizada no citado certame. Destacou ainda que outros conselhos profissionais, incluindo o CAU/BR, já adotam esse procedimento. Após, t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rouxe aos conselheiros deliberação da CAF autorizando o pagamento dessa remuneração. </w:t>
      </w:r>
      <w:r>
        <w:rPr>
          <w:rFonts w:ascii="Arial" w:hAnsi="Arial" w:cs="Arial"/>
          <w:sz w:val="24"/>
          <w:szCs w:val="24"/>
        </w:rPr>
        <w:t>Após discussão, os conselheiros homologaram a Deliberação nº 06/2022 – CAF-CAU/GO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; VII) </w:t>
      </w:r>
      <w:r>
        <w:rPr>
          <w:rFonts w:ascii="Arial" w:hAnsi="Arial" w:cs="Arial"/>
          <w:b/>
          <w:bCs/>
          <w:sz w:val="24"/>
          <w:szCs w:val="24"/>
        </w:rPr>
        <w:t>Apresentação de comunicações.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a) Dos Coordenadores das Comissões </w:t>
      </w:r>
      <w:r>
        <w:rPr>
          <w:rFonts w:ascii="Arial" w:hAnsi="Arial" w:cs="Arial"/>
          <w:b/>
          <w:bCs/>
          <w:sz w:val="24"/>
          <w:szCs w:val="24"/>
        </w:rPr>
        <w:t>permanentes. 1.1. Comissão de Administração e Finanças – CAF.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lastRenderedPageBreak/>
        <w:t xml:space="preserve">Prestação de contas de fevereiro de 2022. </w:t>
      </w:r>
      <w:r>
        <w:rPr>
          <w:rFonts w:ascii="Arial" w:hAnsi="Arial" w:cs="Arial"/>
          <w:sz w:val="24"/>
          <w:szCs w:val="24"/>
        </w:rPr>
        <w:t>Foi concedida a palavra à Gerente Leonídia Cristina Leão para que iniciasse a apresentação, expondo o seguinte: “</w:t>
      </w:r>
      <w:r>
        <w:rPr>
          <w:rFonts w:ascii="Arial" w:hAnsi="Arial" w:cs="Arial"/>
          <w:i/>
          <w:iCs/>
          <w:sz w:val="24"/>
          <w:szCs w:val="24"/>
        </w:rPr>
        <w:t>No período de fevereiro de 2022 foram r</w:t>
      </w:r>
      <w:r>
        <w:rPr>
          <w:rFonts w:ascii="Arial" w:hAnsi="Arial" w:cs="Arial"/>
          <w:i/>
          <w:iCs/>
          <w:sz w:val="24"/>
          <w:szCs w:val="24"/>
        </w:rPr>
        <w:t>ealizados R$ 43.409,60 a menor que o previsto. A ocorrência deste caso é um reflexo da matriz de cálculo, onde a previsão considera a média percentual das receitas mensais de 2019 até 2021. Sendo que o ano de 2021, tem valores bem expressivos por ser um an</w:t>
      </w:r>
      <w:r>
        <w:rPr>
          <w:rFonts w:ascii="Arial" w:hAnsi="Arial" w:cs="Arial"/>
          <w:i/>
          <w:iCs/>
          <w:sz w:val="24"/>
          <w:szCs w:val="24"/>
        </w:rPr>
        <w:t xml:space="preserve">o de retomada da economia. O valor realizado no 1º bimestre de 2022 apresentou um aumento de 2,1% em relação ao mesmo período de 2021 As receitas foram -8% menores que o previsto para o período, mas como demonstrou a tabela anterior os valores arrecadados </w:t>
      </w:r>
      <w:r>
        <w:rPr>
          <w:rFonts w:ascii="Arial" w:hAnsi="Arial" w:cs="Arial"/>
          <w:i/>
          <w:iCs/>
          <w:sz w:val="24"/>
          <w:szCs w:val="24"/>
        </w:rPr>
        <w:t>em taxas e multas e aplicação financeira tiveram um aumento significativo comparado aos anos anteriores. O valor realizado de anuidades no primeiro bimestre de 2022 apresentou um décimo de -9,1% em relação ao mesmo período de 2021. As receitas de anuidades</w:t>
      </w:r>
      <w:r>
        <w:rPr>
          <w:rFonts w:ascii="Arial" w:hAnsi="Arial" w:cs="Arial"/>
          <w:i/>
          <w:iCs/>
          <w:sz w:val="24"/>
          <w:szCs w:val="24"/>
        </w:rPr>
        <w:t xml:space="preserve"> foram -16,3% menores que o previsto para o período. Em comparação ao mês de janeiro de 2022 teve um crescimento de 25,5%. O valor realizado de RRT no primeiro bimestre de 2022 apresentou um aumento de 7,3% em relação ao mesmo período de 2021. A quantidade</w:t>
      </w:r>
      <w:r>
        <w:rPr>
          <w:rFonts w:ascii="Arial" w:hAnsi="Arial" w:cs="Arial"/>
          <w:i/>
          <w:iCs/>
          <w:sz w:val="24"/>
          <w:szCs w:val="24"/>
        </w:rPr>
        <w:t xml:space="preserve"> de RRTs gerados por profissional no período foi de 0,9 RRTs/profissional, sendo similar à média dos últimos 3 anos. As despesas correntes foram R$ 104.874 mil menores do que o previsto. No mês de fevereiro continuamos com os trabalhos na Sede sendo realiz</w:t>
      </w:r>
      <w:r>
        <w:rPr>
          <w:rFonts w:ascii="Arial" w:hAnsi="Arial" w:cs="Arial"/>
          <w:i/>
          <w:iCs/>
          <w:sz w:val="24"/>
          <w:szCs w:val="24"/>
        </w:rPr>
        <w:t xml:space="preserve">ados em regime híbrido e os funcionários indo 3 vezes por semana. Tivemos um aumento nos custos de uso da sede física, com material de consumo e prestação de serviços, sendo relevante o custo com CSC e Fundo de Apoio. O valor realizado no 1º bimestre 2022 </w:t>
      </w:r>
      <w:r>
        <w:rPr>
          <w:rFonts w:ascii="Arial" w:hAnsi="Arial" w:cs="Arial"/>
          <w:i/>
          <w:iCs/>
          <w:sz w:val="24"/>
          <w:szCs w:val="24"/>
        </w:rPr>
        <w:t>foi 11,90% maior que o realizado no mesmo período de 2021, ressaltando que neste mês vários contratos de prestação de serviços foram renovados. As despesas correntes foram -29% menores que o previsto para o período. No período houve superávit de R$ 270.184</w:t>
      </w:r>
      <w:r>
        <w:rPr>
          <w:rFonts w:ascii="Arial" w:hAnsi="Arial" w:cs="Arial"/>
          <w:i/>
          <w:iCs/>
          <w:sz w:val="24"/>
          <w:szCs w:val="24"/>
        </w:rPr>
        <w:t>, que foi aplicado em fundo DI. Estava previsto superávit de R$208.720 sendo realizados 29,45% a mais, devido às menores despesas (29%). A estrutura atual do Conselho conta com um quadro composto por 21 funcionários e 2 estagiários. Nos cálculos de despesa</w:t>
      </w:r>
      <w:r>
        <w:rPr>
          <w:rFonts w:ascii="Arial" w:hAnsi="Arial" w:cs="Arial"/>
          <w:i/>
          <w:iCs/>
          <w:sz w:val="24"/>
          <w:szCs w:val="24"/>
        </w:rPr>
        <w:t xml:space="preserve"> com pessoal são considerados: Salários + Férias + 13º + Encargos Os valores de Benefícios com Alimentaç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>ão e Transporte não são considerados para o % sobre as receitas Limite máximo = 55%”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. Por fim, a Conselheira Celina destacou que a CAF discutiu ainda so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bre </w:t>
      </w:r>
      <w:r>
        <w:rPr>
          <w:rFonts w:ascii="Arial" w:hAnsi="Arial" w:cs="Arial"/>
          <w:color w:val="000000"/>
          <w:sz w:val="24"/>
          <w:szCs w:val="24"/>
        </w:rPr>
        <w:t>Acordo Coletivo, valor da verba a ser paga aos membros da Subcomissão Técnica – Licitação para contratação de empresa de publicidade, ajuda de custo, cobrança de anuidades, isenção de anuidade, prestação de contas dos Patrocínios e Assuntos Gerais (lei</w:t>
      </w:r>
      <w:r>
        <w:rPr>
          <w:rFonts w:ascii="Arial" w:hAnsi="Arial" w:cs="Arial"/>
          <w:color w:val="000000"/>
          <w:sz w:val="24"/>
          <w:szCs w:val="24"/>
        </w:rPr>
        <w:t>lão de bens móveis, concurso público, móveis novos, entre outros).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1.2. Comissão de Ética 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Disciplina – CED.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 Coordenadora Giovana iniciou o </w:t>
      </w:r>
      <w:r>
        <w:rPr>
          <w:rFonts w:ascii="Arial" w:hAnsi="Arial" w:cs="Arial"/>
          <w:bCs/>
          <w:sz w:val="24"/>
          <w:szCs w:val="24"/>
        </w:rPr>
        <w:t xml:space="preserve">seu relato abordando a análise e os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encaminhamentos dos processos disciplinares pautados e os respectivos encamin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hamentos. Na sequência, a Coordenadora informou que foi encaminhada à CED ofício do CAU/RS e ofício do CAU/BR, ambos abrangendo o Projeto de alteração à Resolução CAU/BR nº 143/2017. Informou que solicitaria auxílio jurídico para responder aos comunicados.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Por fim, destacou que foi remetida uma denúncia à CED, oportunidade em que esta deliberou pela necessidade de que a CEPEF se manifestasse em relação ao exercício profissional da denunciada. Após, os conselheiros presentes na Plenária homologaram a deliber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ação expedida pela CED para que a CEPEF pudesse se manifestar.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1.3. Comissão de Ensino, Exercício e Formação Profissional – CEPEF.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Foi destacada pela Gerente Geral a realização da aula magna com a Brasil Arquitetura. Além disso, destacou que </w:t>
      </w:r>
      <w:r>
        <w:rPr>
          <w:rFonts w:ascii="Arial" w:hAnsi="Arial" w:cs="Arial"/>
          <w:color w:val="000000" w:themeColor="text1"/>
          <w:sz w:val="24"/>
          <w:szCs w:val="24"/>
        </w:rPr>
        <w:t>a servidora Ma</w:t>
      </w:r>
      <w:r>
        <w:rPr>
          <w:rFonts w:ascii="Arial" w:hAnsi="Arial" w:cs="Arial"/>
          <w:color w:val="000000" w:themeColor="text1"/>
          <w:sz w:val="24"/>
          <w:szCs w:val="24"/>
        </w:rPr>
        <w:t>ria Ester participou de uma reunião com o Ministério Público e a Secretaria de Estado da Educação, e os órgãos solicitaram uma capacitação sobre acessibilidade, voltada para os arquitetos que trabalham nos órgãos públicos e elaboram projetos de escolas, un</w:t>
      </w:r>
      <w:r>
        <w:rPr>
          <w:rFonts w:ascii="Arial" w:hAnsi="Arial" w:cs="Arial"/>
          <w:color w:val="000000" w:themeColor="text1"/>
          <w:sz w:val="24"/>
          <w:szCs w:val="24"/>
        </w:rPr>
        <w:t>idades de saúde e outros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1.4. Comissão de Política Urbana e Ambiental – CPUA.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 conselheiro João Eduardo apresentou o relato da CPUA, destacando que em relação ao Plano Diretor, a Comissão entendeu que o Conselho devesse entrar em contato com o MP para sa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ber qual procedimento está sendo adotado para a implementação do Plano Diretor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Em relação ao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prédio da Assembleia no Bosque dos Buritis, foi destacada a necessidade de que o CAU/GO publicasse uma </w:t>
      </w:r>
      <w:r>
        <w:rPr>
          <w:rFonts w:ascii="Arial" w:hAnsi="Arial" w:cs="Arial"/>
          <w:color w:val="000000" w:themeColor="text1"/>
          <w:sz w:val="24"/>
          <w:szCs w:val="24"/>
        </w:rPr>
        <w:t>nota de divulgação do CAU favorável à instalação de ativida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des culturais no Prédio da Assembleia no Bosque dos Buritis. Quanto ao evento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“Cidade para Mulheres”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informou que a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assessora Maria Ester informou que o CAU/GO recebeu do CAU/BR um convite para participar de um circuito de evento sobre “Cidades Inclusivas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”. Noticiou que a comissão discutiu sobre como deveria ser feita a organização, se de forma presencial ou de forma remota, mas reportou que a comissão decidiu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aguardar decisão dos conselheiros sobre a pertinência de realizar o evento. Em relação à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capacita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ção em acessibilidade, o conselheiro destacou que a CPUA deliberou pela necessidade de que fosse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organizada a capacitação do CAU/GO em parceria com o MP e SEE e que fosse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retomada uma campanha publicitária para o evento e conscientização da acessibilidade.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Sobre o apoio ao desenvolvimento do Plano de Mobilidade de Goiânia, João informou que em </w:t>
      </w:r>
      <w:r>
        <w:rPr>
          <w:rFonts w:ascii="Arial" w:hAnsi="Arial" w:cs="Arial"/>
          <w:color w:val="000000" w:themeColor="text1"/>
          <w:sz w:val="24"/>
          <w:szCs w:val="24"/>
        </w:rPr>
        <w:t>resposta ao convite da Prefeitura de Goiânia, a comissão entendeu que o CAU/GO deva participar ativamente com a organização de jornadas e oficinas do PLAMOB. Na sequê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ncia, o conselheiro destacou que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haverá um evento em Brasília sobre habitação de interesse social, para buscar um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mecanismo efetivo para o papel e assistência técnica em habitação, a se realizar nos dias 07, 08 e 09 de abril de 2022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E ainda que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foi feita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uma divulgação do próximo encontro da jornada de debates sobre o </w:t>
      </w:r>
      <w:r>
        <w:rPr>
          <w:rFonts w:ascii="Arial" w:hAnsi="Arial" w:cs="Arial"/>
          <w:color w:val="000000" w:themeColor="text1"/>
          <w:sz w:val="24"/>
          <w:szCs w:val="24"/>
        </w:rPr>
        <w:t>Plano de Mobilidade de Goiânia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 e que a próxima jornada será no dia 24/03, no CREA/GO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1.5. Comissão Temporária de Comunicação – CTC.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Foi destacada que a referida comissão não mais </w:t>
      </w:r>
      <w:r>
        <w:rPr>
          <w:rFonts w:ascii="Arial" w:hAnsi="Arial" w:cs="Arial"/>
          <w:color w:val="000000" w:themeColor="text1"/>
          <w:sz w:val="24"/>
          <w:szCs w:val="24"/>
        </w:rPr>
        <w:t>existe formalmente, mas que suas atividades continuam acontecendo. Foi destacado que foi autuado novo processo para contratação de empresa de publicidade.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 conselheiro João reforçou a necessidade de que seja melhor trabalhada a questão da publicidade das </w:t>
      </w:r>
      <w:r>
        <w:rPr>
          <w:rFonts w:ascii="Arial" w:hAnsi="Arial" w:cs="Arial"/>
          <w:color w:val="000000" w:themeColor="text1"/>
          <w:sz w:val="24"/>
          <w:szCs w:val="24"/>
        </w:rPr>
        <w:t>atividades do CAU/GO, se dispondo a auxiliar a área da comunicação do CAU/GO sobre isso.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a) Do CAU/BR.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 Conselheiro Federal Nilton relatou que foi discutida no CAU/BR a questão envolvendo as diárias. Destacou que foi instituído um Grupo de Trabalho no CAU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/BR para discussão sobre os honorários. Após, informou que o CAU/AL tem tomada frente em iniciativas visando regularizar imóveis. 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b)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Do Presidente.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Iniciou seu relato informando sobre o Fórum dos Presidentes do CAU’s/UF, destacando que foi realizado em Fl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orianópolis-SC nos dias 10 e 11 de março. Ponderou que foi debatido o Plano Nacional de Fiscalização. Pontuou que houve a conclusão da análise sobre o regimento eleitoral e, por fim, noticiou que foi constituído um grupo de trabalho de tecnologia, para deb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ater sobre a “carta aos candidatos”. O conselheiro federal interveio e complementou, dizendo que a carta está finalizada, e que os pontos estão para análise e aprofundamento técnico.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c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) Da Gerência Geral.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 Gerente Geral destacou que as próximas reuniões,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tanto das comissões quanta da Plenária, serão presenciais. Solicitou ao Assessor Jurídico e Comissões que requisitasse o encaminhamento dos cartões de vacinação dos conselheiros. Na sequencia, registrou que foi finalizado o Relatório de Gestão exigido pelo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TCU, e que o documento havia sido lançado no Portal da Transparência e remetido ao CAU/BR. Após, informou sobre a ocorrência da aula magna com a Brasil Arquitetura. Pontuou ainda que o CAU/GO está organizando um curso de capacitação junto ao MP e a SEE so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bre acessibilidade em projetos públicos, e que esse deverá acontecer no mês de junho. Noticiou que o CAU/GO participará do evento de abertura do curso de especialização sobre escritórios de Arquitetura promovido pelo IPOG. Quanto à AGEHAB, reportou que est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ava agendada uma reunião com essa instituição para apresentação do projeto quilombola junto aos vencedores. Por fim, noticiou que havia se encerrado as inscrições dos chamamentos referentes aos projetos ATHIS e de patrocínio. </w:t>
      </w:r>
      <w:r>
        <w:rPr>
          <w:rFonts w:ascii="Arial" w:hAnsi="Arial" w:cs="Arial"/>
          <w:color w:val="222222"/>
          <w:sz w:val="24"/>
          <w:szCs w:val="24"/>
        </w:rPr>
        <w:t>Encerrados</w:t>
      </w:r>
      <w:r>
        <w:rPr>
          <w:rFonts w:ascii="Arial" w:hAnsi="Arial" w:cs="Arial"/>
          <w:bCs/>
          <w:color w:val="222222"/>
          <w:sz w:val="24"/>
          <w:szCs w:val="24"/>
        </w:rPr>
        <w:t xml:space="preserve"> os pontos de pauta </w:t>
      </w:r>
      <w:r>
        <w:rPr>
          <w:rFonts w:ascii="Arial" w:hAnsi="Arial" w:cs="Arial"/>
          <w:bCs/>
          <w:color w:val="222222"/>
          <w:sz w:val="24"/>
          <w:szCs w:val="24"/>
        </w:rPr>
        <w:t>previstos na reunião e, nada mais havendo a tratar, o</w:t>
      </w:r>
      <w:r>
        <w:rPr>
          <w:rFonts w:ascii="Arial" w:hAnsi="Arial" w:cs="Arial"/>
          <w:color w:val="222222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Presidente </w:t>
      </w:r>
      <w:r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Guilherme Vieira Cipriano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bCs/>
          <w:color w:val="222222"/>
          <w:sz w:val="24"/>
          <w:szCs w:val="24"/>
        </w:rPr>
        <w:t xml:space="preserve">secretariei a sessão, lavrei a presente súmula que, depois de lida e achada conforme, será </w:t>
      </w:r>
      <w:r>
        <w:rPr>
          <w:rFonts w:ascii="Arial" w:hAnsi="Arial" w:cs="Arial"/>
          <w:bCs/>
          <w:color w:val="222222"/>
          <w:sz w:val="24"/>
          <w:szCs w:val="24"/>
        </w:rPr>
        <w:t xml:space="preserve">assinada por mim e pelo Presidente em exercício do CAU/GO, </w:t>
      </w: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>
        <w:rPr>
          <w:rFonts w:ascii="Arial" w:hAnsi="Arial" w:cs="Arial"/>
          <w:bCs/>
          <w:color w:val="222222"/>
          <w:sz w:val="24"/>
          <w:szCs w:val="24"/>
        </w:rPr>
        <w:t>. Goiânia, ao trigésimo primeiro dia do mês de março de 2022.</w:t>
      </w:r>
    </w:p>
    <w:p w:rsidR="0088407E" w:rsidRDefault="0088407E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:rsidR="0088407E" w:rsidRDefault="0088407E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8407E" w:rsidRDefault="0088407E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8407E" w:rsidRDefault="0088407E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8407E" w:rsidRDefault="003A085D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iCs/>
          <w:color w:val="000000"/>
          <w:sz w:val="24"/>
          <w:szCs w:val="24"/>
        </w:rPr>
        <w:t>Fernando Camargo Chapadeiro</w:t>
      </w:r>
    </w:p>
    <w:p w:rsidR="0088407E" w:rsidRDefault="003A085D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iCs/>
          <w:color w:val="00000A"/>
          <w:sz w:val="24"/>
          <w:szCs w:val="24"/>
        </w:rPr>
        <w:t>P</w:t>
      </w:r>
      <w:bookmarkStart w:id="0" w:name="_GoBack"/>
      <w:bookmarkEnd w:id="0"/>
      <w:r>
        <w:rPr>
          <w:rFonts w:ascii="Arial" w:hAnsi="Arial" w:cs="Arial"/>
          <w:iCs/>
          <w:color w:val="00000A"/>
          <w:sz w:val="24"/>
          <w:szCs w:val="24"/>
        </w:rPr>
        <w:t>residente do CAU/GO</w:t>
      </w:r>
    </w:p>
    <w:p w:rsidR="0088407E" w:rsidRDefault="0088407E">
      <w:pPr>
        <w:jc w:val="center"/>
        <w:rPr>
          <w:rFonts w:ascii="Arial" w:hAnsi="Arial" w:cs="Arial"/>
          <w:sz w:val="24"/>
          <w:szCs w:val="24"/>
        </w:rPr>
      </w:pPr>
    </w:p>
    <w:p w:rsidR="0088407E" w:rsidRDefault="0088407E">
      <w:pPr>
        <w:jc w:val="center"/>
        <w:rPr>
          <w:rFonts w:ascii="Arial" w:hAnsi="Arial" w:cs="Arial"/>
          <w:sz w:val="24"/>
          <w:szCs w:val="24"/>
        </w:rPr>
      </w:pPr>
    </w:p>
    <w:p w:rsidR="0088407E" w:rsidRDefault="0088407E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:rsidR="0088407E" w:rsidRDefault="0088407E">
      <w:pPr>
        <w:jc w:val="center"/>
        <w:rPr>
          <w:rFonts w:ascii="Arial" w:hAnsi="Arial" w:cs="Arial"/>
          <w:b/>
          <w:color w:val="222222"/>
          <w:sz w:val="24"/>
          <w:szCs w:val="24"/>
        </w:rPr>
      </w:pPr>
    </w:p>
    <w:p w:rsidR="0088407E" w:rsidRDefault="003A085D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Guilherme Vieira Cipriano</w:t>
      </w:r>
      <w:r>
        <w:rPr>
          <w:rFonts w:ascii="Arial" w:hAnsi="Arial" w:cs="Arial"/>
          <w:bCs/>
          <w:color w:val="222222"/>
          <w:sz w:val="24"/>
          <w:szCs w:val="24"/>
        </w:rPr>
        <w:t xml:space="preserve"> </w:t>
      </w:r>
    </w:p>
    <w:p w:rsidR="0088407E" w:rsidRDefault="003A085D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>
        <w:rPr>
          <w:rFonts w:ascii="Arial" w:hAnsi="Arial" w:cs="Arial"/>
          <w:bCs/>
          <w:color w:val="222222"/>
          <w:sz w:val="24"/>
          <w:szCs w:val="24"/>
        </w:rPr>
        <w:t xml:space="preserve">Assessor </w:t>
      </w:r>
      <w:r>
        <w:rPr>
          <w:rFonts w:ascii="Arial" w:hAnsi="Arial" w:cs="Arial"/>
          <w:bCs/>
          <w:color w:val="222222"/>
          <w:sz w:val="24"/>
          <w:szCs w:val="24"/>
        </w:rPr>
        <w:t xml:space="preserve">Jurídico e de </w:t>
      </w:r>
      <w:r>
        <w:rPr>
          <w:rFonts w:ascii="Arial" w:hAnsi="Arial" w:cs="Arial"/>
          <w:bCs/>
          <w:color w:val="222222"/>
          <w:sz w:val="24"/>
          <w:szCs w:val="24"/>
        </w:rPr>
        <w:t>Comissões</w:t>
      </w:r>
    </w:p>
    <w:p w:rsidR="0088407E" w:rsidRDefault="0088407E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sectPr w:rsidR="0088407E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A085D">
      <w:r>
        <w:separator/>
      </w:r>
    </w:p>
  </w:endnote>
  <w:endnote w:type="continuationSeparator" w:id="0">
    <w:p w:rsidR="00000000" w:rsidRDefault="003A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Times New Roman"/>
    <w:charset w:val="00"/>
    <w:family w:val="roman"/>
    <w:pitch w:val="variable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5923410"/>
      <w:docPartObj>
        <w:docPartGallery w:val="Page Numbers (Bottom of Page)"/>
        <w:docPartUnique/>
      </w:docPartObj>
    </w:sdtPr>
    <w:sdtEndPr/>
    <w:sdtContent>
      <w:p w:rsidR="0088407E" w:rsidRDefault="003A085D">
        <w:pPr>
          <w:pStyle w:val="Rodap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:rsidR="0088407E" w:rsidRDefault="003A085D">
    <w:pPr>
      <w:pStyle w:val="Rodap"/>
    </w:pPr>
    <w:r>
      <w:rPr>
        <w:noProof/>
      </w:rPr>
      <w:drawing>
        <wp:anchor distT="0" distB="0" distL="114300" distR="114300" simplePos="0" relativeHeight="6" behindDoc="0" locked="0" layoutInCell="0" allowOverlap="1">
          <wp:simplePos x="0" y="0"/>
          <wp:positionH relativeFrom="page">
            <wp:align>right</wp:align>
          </wp:positionH>
          <wp:positionV relativeFrom="margin">
            <wp:posOffset>7741285</wp:posOffset>
          </wp:positionV>
          <wp:extent cx="7552690" cy="904240"/>
          <wp:effectExtent l="0" t="0" r="0" b="0"/>
          <wp:wrapSquare wrapText="bothSides"/>
          <wp:docPr id="2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A085D">
      <w:r>
        <w:separator/>
      </w:r>
    </w:p>
  </w:footnote>
  <w:footnote w:type="continuationSeparator" w:id="0">
    <w:p w:rsidR="00000000" w:rsidRDefault="003A0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407E" w:rsidRDefault="003A085D">
    <w:pPr>
      <w:pStyle w:val="Cabealho1"/>
      <w:jc w:val="center"/>
    </w:pPr>
    <w:r>
      <w:rPr>
        <w:noProof/>
      </w:rPr>
      <w:drawing>
        <wp:anchor distT="0" distB="0" distL="114300" distR="114300" simplePos="0" relativeHeight="11" behindDoc="0" locked="0" layoutInCell="0" allowOverlap="1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690" cy="1257300"/>
          <wp:effectExtent l="0" t="0" r="0" b="0"/>
          <wp:wrapSquare wrapText="bothSides"/>
          <wp:docPr id="1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8407E" w:rsidRDefault="0088407E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13700"/>
    <w:multiLevelType w:val="multilevel"/>
    <w:tmpl w:val="78BE93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78B0B42"/>
    <w:multiLevelType w:val="multilevel"/>
    <w:tmpl w:val="31D87DAA"/>
    <w:lvl w:ilvl="0">
      <w:start w:val="1"/>
      <w:numFmt w:val="upperRoman"/>
      <w:suff w:val="space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07E"/>
    <w:rsid w:val="003A085D"/>
    <w:rsid w:val="00884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F6D59"/>
  <w15:docId w15:val="{06FB3557-C54E-440E-B1F6-07CB6827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BB2174"/>
    <w:rPr>
      <w:rFonts w:eastAsia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2016E"/>
    <w:rPr>
      <w:rFonts w:ascii="Segoe UI" w:eastAsia="Times New Roman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F044A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619D3"/>
    <w:rPr>
      <w:b/>
      <w:bCs/>
    </w:rPr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  <w:lang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201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6AC405-0FBF-48BB-BAD3-35E482196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1779</Words>
  <Characters>9607</Characters>
  <Application>Microsoft Office Word</Application>
  <DocSecurity>0</DocSecurity>
  <Lines>80</Lines>
  <Paragraphs>22</Paragraphs>
  <ScaleCrop>false</ScaleCrop>
  <Company/>
  <LinksUpToDate>false</LinksUpToDate>
  <CharactersWithSpaces>11364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18</cp:revision>
  <cp:lastPrinted>2020-11-27T12:28:00Z</cp:lastPrinted>
  <dcterms:created xsi:type="dcterms:W3CDTF">2022-03-30T16:10:00Z</dcterms:created>
  <dcterms:modified xsi:type="dcterms:W3CDTF">2022-05-02T13:07:00Z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