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8ADE" w14:textId="28E25732" w:rsidR="004C1E59" w:rsidRPr="004650E8" w:rsidRDefault="00384671" w:rsidP="004650E8">
      <w:pPr>
        <w:spacing w:line="360" w:lineRule="auto"/>
        <w:jc w:val="center"/>
        <w:rPr>
          <w:highlight w:val="white"/>
        </w:rPr>
      </w:pPr>
      <w:r w:rsidRPr="004650E8">
        <w:rPr>
          <w:rFonts w:eastAsia="Calibri"/>
          <w:b/>
          <w:highlight w:val="white"/>
        </w:rPr>
        <w:t xml:space="preserve">PORTARIA NORMATIVA N° </w:t>
      </w:r>
      <w:r w:rsidR="00937205" w:rsidRPr="004650E8">
        <w:rPr>
          <w:rFonts w:eastAsia="Calibri"/>
          <w:b/>
          <w:highlight w:val="white"/>
        </w:rPr>
        <w:t>21</w:t>
      </w:r>
      <w:r w:rsidRPr="004650E8">
        <w:rPr>
          <w:rFonts w:eastAsia="Calibri"/>
          <w:b/>
          <w:highlight w:val="white"/>
        </w:rPr>
        <w:t xml:space="preserve">, DE </w:t>
      </w:r>
      <w:r w:rsidR="000C0453" w:rsidRPr="004650E8">
        <w:rPr>
          <w:rFonts w:eastAsia="Calibri"/>
          <w:b/>
          <w:highlight w:val="white"/>
        </w:rPr>
        <w:t xml:space="preserve">03 DE JUNHO </w:t>
      </w:r>
      <w:r w:rsidR="00937205" w:rsidRPr="004650E8">
        <w:rPr>
          <w:rFonts w:eastAsia="Calibri"/>
          <w:b/>
          <w:highlight w:val="white"/>
        </w:rPr>
        <w:t>DE 2024.</w:t>
      </w:r>
    </w:p>
    <w:p w14:paraId="354E2C1C" w14:textId="77777777" w:rsidR="004C1E59" w:rsidRPr="004650E8" w:rsidRDefault="004C1E59" w:rsidP="004650E8">
      <w:pPr>
        <w:spacing w:line="360" w:lineRule="auto"/>
        <w:jc w:val="both"/>
        <w:rPr>
          <w:rFonts w:eastAsia="Calibri"/>
          <w:b/>
          <w:bCs/>
          <w:highlight w:val="white"/>
        </w:rPr>
      </w:pPr>
    </w:p>
    <w:p w14:paraId="12FEF043" w14:textId="77777777" w:rsidR="004C1E59" w:rsidRPr="004650E8" w:rsidRDefault="00937205" w:rsidP="004650E8">
      <w:pPr>
        <w:spacing w:line="360" w:lineRule="auto"/>
        <w:ind w:left="5040"/>
        <w:jc w:val="both"/>
        <w:rPr>
          <w:highlight w:val="white"/>
        </w:rPr>
      </w:pPr>
      <w:r w:rsidRPr="004650E8">
        <w:rPr>
          <w:rFonts w:eastAsia="Calibri"/>
          <w:b/>
          <w:bCs/>
          <w:highlight w:val="white"/>
        </w:rPr>
        <w:t>Dispõe sobre a concessão, aplicação e prestação de contas de suprimentos de fundos no âmbito do Conselho de Arquitetura e Urbanismo de Goiás (CAU/GO) e dá outras providências</w:t>
      </w:r>
      <w:r w:rsidRPr="004650E8">
        <w:rPr>
          <w:rFonts w:eastAsia="Calibri"/>
          <w:highlight w:val="white"/>
        </w:rPr>
        <w:t>.</w:t>
      </w:r>
    </w:p>
    <w:p w14:paraId="0507EEE5" w14:textId="77777777" w:rsidR="004C1E59" w:rsidRPr="004650E8" w:rsidRDefault="00384671" w:rsidP="004650E8">
      <w:pPr>
        <w:spacing w:line="360" w:lineRule="auto"/>
        <w:ind w:firstLine="567"/>
        <w:jc w:val="both"/>
        <w:rPr>
          <w:highlight w:val="white"/>
        </w:rPr>
      </w:pPr>
      <w:r w:rsidRPr="004650E8">
        <w:rPr>
          <w:rFonts w:eastAsia="Calibri"/>
          <w:b/>
          <w:highlight w:val="white"/>
        </w:rPr>
        <w:t>A Presidente do Conselho de Arquitetura e Urbanismo de Goiás</w:t>
      </w:r>
      <w:r w:rsidR="00937205" w:rsidRPr="004650E8">
        <w:rPr>
          <w:rFonts w:eastAsia="Calibri"/>
          <w:b/>
          <w:highlight w:val="white"/>
        </w:rPr>
        <w:t xml:space="preserve"> (</w:t>
      </w:r>
      <w:r w:rsidRPr="004650E8">
        <w:rPr>
          <w:rFonts w:eastAsia="Calibri"/>
          <w:b/>
          <w:highlight w:val="white"/>
        </w:rPr>
        <w:t>CAU/GO</w:t>
      </w:r>
      <w:r w:rsidR="00937205" w:rsidRPr="004650E8">
        <w:rPr>
          <w:rFonts w:eastAsia="Calibri"/>
          <w:b/>
          <w:highlight w:val="white"/>
        </w:rPr>
        <w:t>)</w:t>
      </w:r>
      <w:r w:rsidRPr="004650E8">
        <w:rPr>
          <w:rFonts w:eastAsia="Calibri"/>
          <w:highlight w:val="white"/>
        </w:rPr>
        <w:t>, no uso das atribuições que lhe confere</w:t>
      </w:r>
      <w:r w:rsidR="001C23E6" w:rsidRPr="004650E8">
        <w:rPr>
          <w:rFonts w:eastAsia="Calibri"/>
          <w:highlight w:val="white"/>
        </w:rPr>
        <w:t>m</w:t>
      </w:r>
      <w:r w:rsidRPr="004650E8">
        <w:rPr>
          <w:rFonts w:eastAsia="Calibri"/>
          <w:highlight w:val="white"/>
        </w:rPr>
        <w:t xml:space="preserve"> o </w:t>
      </w:r>
      <w:r w:rsidR="00180C55" w:rsidRPr="004650E8">
        <w:rPr>
          <w:rFonts w:eastAsia="Calibri"/>
          <w:highlight w:val="white"/>
        </w:rPr>
        <w:t xml:space="preserve">inciso III do </w:t>
      </w:r>
      <w:r w:rsidRPr="004650E8">
        <w:rPr>
          <w:rFonts w:eastAsia="Calibri"/>
          <w:highlight w:val="white"/>
        </w:rPr>
        <w:t>art. 35 da Lei n° 12.378, de 31 de dezembro de 2010 e o art. 1</w:t>
      </w:r>
      <w:r w:rsidR="00180C55" w:rsidRPr="004650E8">
        <w:rPr>
          <w:rFonts w:eastAsia="Calibri"/>
          <w:highlight w:val="white"/>
        </w:rPr>
        <w:t>49</w:t>
      </w:r>
      <w:r w:rsidRPr="004650E8">
        <w:rPr>
          <w:rFonts w:eastAsia="Calibri"/>
          <w:highlight w:val="white"/>
        </w:rPr>
        <w:t xml:space="preserve"> do Regimento Interno </w:t>
      </w:r>
      <w:r w:rsidR="00180C55" w:rsidRPr="004650E8">
        <w:rPr>
          <w:rFonts w:eastAsia="Calibri"/>
          <w:highlight w:val="white"/>
        </w:rPr>
        <w:t xml:space="preserve">do CAU/GO, </w:t>
      </w:r>
      <w:r w:rsidRPr="004650E8">
        <w:rPr>
          <w:rFonts w:eastAsia="Calibri"/>
          <w:highlight w:val="white"/>
        </w:rPr>
        <w:t xml:space="preserve">aprovado pela Deliberação Plenária </w:t>
      </w:r>
      <w:r w:rsidR="00180C55" w:rsidRPr="004650E8">
        <w:rPr>
          <w:rFonts w:eastAsia="Calibri"/>
          <w:highlight w:val="white"/>
        </w:rPr>
        <w:t xml:space="preserve">CAU/GO </w:t>
      </w:r>
      <w:r w:rsidRPr="004650E8">
        <w:rPr>
          <w:rFonts w:eastAsia="Calibri"/>
          <w:highlight w:val="white"/>
        </w:rPr>
        <w:t xml:space="preserve">n° </w:t>
      </w:r>
      <w:r w:rsidR="00180C55" w:rsidRPr="004650E8">
        <w:rPr>
          <w:rFonts w:eastAsia="Calibri"/>
          <w:highlight w:val="white"/>
        </w:rPr>
        <w:t>307</w:t>
      </w:r>
      <w:r w:rsidRPr="004650E8">
        <w:rPr>
          <w:rFonts w:eastAsia="Calibri"/>
          <w:highlight w:val="white"/>
        </w:rPr>
        <w:t xml:space="preserve"> de </w:t>
      </w:r>
      <w:r w:rsidR="00180C55" w:rsidRPr="004650E8">
        <w:rPr>
          <w:rFonts w:eastAsia="Calibri"/>
          <w:highlight w:val="white"/>
        </w:rPr>
        <w:t>19</w:t>
      </w:r>
      <w:r w:rsidRPr="004650E8">
        <w:rPr>
          <w:rFonts w:eastAsia="Calibri"/>
          <w:highlight w:val="white"/>
        </w:rPr>
        <w:t xml:space="preserve"> de j</w:t>
      </w:r>
      <w:r w:rsidR="00180C55" w:rsidRPr="004650E8">
        <w:rPr>
          <w:rFonts w:eastAsia="Calibri"/>
          <w:highlight w:val="white"/>
        </w:rPr>
        <w:t>aneiro de 2024</w:t>
      </w:r>
      <w:r w:rsidRPr="004650E8">
        <w:rPr>
          <w:rFonts w:eastAsia="Calibri"/>
          <w:highlight w:val="white"/>
        </w:rPr>
        <w:t>;</w:t>
      </w:r>
    </w:p>
    <w:p w14:paraId="1C646B62" w14:textId="77777777" w:rsidR="004C1E59" w:rsidRPr="004650E8" w:rsidRDefault="00384671" w:rsidP="004650E8">
      <w:pPr>
        <w:spacing w:line="360" w:lineRule="auto"/>
        <w:ind w:firstLine="567"/>
        <w:jc w:val="both"/>
        <w:rPr>
          <w:highlight w:val="white"/>
        </w:rPr>
      </w:pPr>
      <w:r w:rsidRPr="004650E8">
        <w:rPr>
          <w:rFonts w:eastAsia="Calibri"/>
          <w:b/>
          <w:highlight w:val="white"/>
        </w:rPr>
        <w:t>CONSIDERANDO</w:t>
      </w:r>
      <w:r w:rsidRPr="004650E8">
        <w:rPr>
          <w:rFonts w:eastAsia="Calibri"/>
          <w:highlight w:val="white"/>
        </w:rPr>
        <w:t xml:space="preserve"> o disposto nos artigos 68 e 69 da Lei nº 4.320, de 17 de março de 1964, que </w:t>
      </w:r>
      <w:r w:rsidR="001C23E6" w:rsidRPr="004650E8">
        <w:rPr>
          <w:rFonts w:eastAsia="Calibri"/>
          <w:highlight w:val="white"/>
        </w:rPr>
        <w:t>institui normas gerais de direito financeiro</w:t>
      </w:r>
      <w:r w:rsidRPr="004650E8">
        <w:rPr>
          <w:rFonts w:eastAsia="Calibri"/>
          <w:highlight w:val="white"/>
        </w:rPr>
        <w:t xml:space="preserve">; </w:t>
      </w:r>
    </w:p>
    <w:p w14:paraId="53785E2D" w14:textId="77777777" w:rsidR="004C1E59" w:rsidRPr="004650E8" w:rsidRDefault="00384671" w:rsidP="004650E8">
      <w:pPr>
        <w:spacing w:line="360" w:lineRule="auto"/>
        <w:ind w:firstLine="567"/>
        <w:jc w:val="both"/>
        <w:rPr>
          <w:highlight w:val="white"/>
        </w:rPr>
      </w:pPr>
      <w:r w:rsidRPr="004650E8">
        <w:rPr>
          <w:rFonts w:eastAsia="Calibri"/>
          <w:b/>
          <w:highlight w:val="white"/>
        </w:rPr>
        <w:t xml:space="preserve">CONSIDERANDO </w:t>
      </w:r>
      <w:r w:rsidRPr="004650E8">
        <w:rPr>
          <w:rFonts w:eastAsia="Calibri"/>
          <w:highlight w:val="white"/>
        </w:rPr>
        <w:t>o disposto no §3º do art</w:t>
      </w:r>
      <w:r w:rsidR="001C23E6" w:rsidRPr="004650E8">
        <w:rPr>
          <w:rFonts w:eastAsia="Calibri"/>
          <w:highlight w:val="white"/>
        </w:rPr>
        <w:t>.</w:t>
      </w:r>
      <w:r w:rsidRPr="004650E8">
        <w:rPr>
          <w:rFonts w:eastAsia="Calibri"/>
          <w:highlight w:val="white"/>
        </w:rPr>
        <w:t xml:space="preserve"> 74 do Decreto-Lei nº 200, de 25 de fevereiro de 1967, o qual autoriza a realização de adiantamentos por meio de utilização de suprimentos de fundos no âmbito da Administração Pública Federal; </w:t>
      </w:r>
    </w:p>
    <w:p w14:paraId="4BC1BA71" w14:textId="18523C74" w:rsidR="004C1E59" w:rsidRPr="004650E8" w:rsidRDefault="00384671" w:rsidP="004650E8">
      <w:pPr>
        <w:spacing w:line="360" w:lineRule="auto"/>
        <w:ind w:firstLine="567"/>
        <w:jc w:val="both"/>
        <w:rPr>
          <w:highlight w:val="white"/>
        </w:rPr>
      </w:pPr>
      <w:r w:rsidRPr="004650E8">
        <w:rPr>
          <w:rFonts w:eastAsia="Calibri"/>
          <w:b/>
          <w:highlight w:val="white"/>
        </w:rPr>
        <w:t xml:space="preserve">CONSIDERANDO </w:t>
      </w:r>
      <w:r w:rsidR="000F463C" w:rsidRPr="004650E8">
        <w:rPr>
          <w:rFonts w:eastAsia="Calibri"/>
          <w:bCs/>
          <w:highlight w:val="white"/>
        </w:rPr>
        <w:t>o disposto no</w:t>
      </w:r>
      <w:r w:rsidR="000F463C" w:rsidRPr="004650E8">
        <w:rPr>
          <w:rFonts w:eastAsia="Calibri"/>
          <w:b/>
          <w:highlight w:val="white"/>
        </w:rPr>
        <w:t xml:space="preserve"> </w:t>
      </w:r>
      <w:r w:rsidR="000F463C" w:rsidRPr="004650E8">
        <w:rPr>
          <w:rFonts w:eastAsia="Calibri"/>
        </w:rPr>
        <w:t xml:space="preserve">artigo 45, incisos I, II e II e </w:t>
      </w:r>
      <w:r w:rsidR="000F463C" w:rsidRPr="004650E8">
        <w:rPr>
          <w:rFonts w:eastAsia="Segoe UI"/>
        </w:rPr>
        <w:t xml:space="preserve">§§§1º, 2º e 3º, e no artigo </w:t>
      </w:r>
      <w:r w:rsidR="000F463C" w:rsidRPr="004650E8">
        <w:rPr>
          <w:rFonts w:eastAsia="Calibri"/>
          <w:highlight w:val="white"/>
        </w:rPr>
        <w:t xml:space="preserve">46 do Decreto nº 93.872, de 23 de dezembro de 1986, </w:t>
      </w:r>
      <w:r w:rsidRPr="004650E8">
        <w:rPr>
          <w:rFonts w:eastAsia="Calibri"/>
          <w:highlight w:val="white"/>
        </w:rPr>
        <w:t xml:space="preserve">que trata sobre pagamento de despesas por meio de suprimentos de fundos; </w:t>
      </w:r>
    </w:p>
    <w:p w14:paraId="621A4F93" w14:textId="77777777" w:rsidR="004C1E59" w:rsidRPr="004650E8" w:rsidRDefault="00384671" w:rsidP="004650E8">
      <w:pPr>
        <w:spacing w:line="360" w:lineRule="auto"/>
        <w:ind w:firstLine="567"/>
        <w:jc w:val="both"/>
        <w:rPr>
          <w:highlight w:val="white"/>
        </w:rPr>
      </w:pPr>
      <w:r w:rsidRPr="004650E8">
        <w:rPr>
          <w:rFonts w:eastAsia="Calibri"/>
          <w:b/>
          <w:highlight w:val="white"/>
        </w:rPr>
        <w:t>CONSIDERANDO</w:t>
      </w:r>
      <w:r w:rsidRPr="004650E8">
        <w:rPr>
          <w:rFonts w:eastAsia="Calibri"/>
          <w:highlight w:val="white"/>
        </w:rPr>
        <w:t xml:space="preserve"> os artigos 1º e 2º do Decreto nº 5.355, de 25 de janeiro de 2005, na redação dada pelo Decreto nº 6.370, de 1º de fevereiro de 2008, que trata da utilização do cartão de pagamento do governo federal (CPGF) pelos órgãos e entidades da Administração Pública federal direta, autárquica e fundacional;</w:t>
      </w:r>
    </w:p>
    <w:p w14:paraId="266BA208" w14:textId="77777777" w:rsidR="004C1E59" w:rsidRPr="004650E8" w:rsidRDefault="00384671" w:rsidP="004650E8">
      <w:pPr>
        <w:spacing w:line="360" w:lineRule="auto"/>
        <w:ind w:firstLine="567"/>
        <w:jc w:val="both"/>
        <w:rPr>
          <w:highlight w:val="white"/>
        </w:rPr>
      </w:pPr>
      <w:r w:rsidRPr="004650E8">
        <w:rPr>
          <w:rFonts w:eastAsia="Calibri"/>
          <w:b/>
          <w:highlight w:val="white"/>
        </w:rPr>
        <w:t>CONSIDERANDO</w:t>
      </w:r>
      <w:r w:rsidRPr="004650E8">
        <w:rPr>
          <w:rFonts w:eastAsia="Calibri"/>
          <w:highlight w:val="white"/>
        </w:rPr>
        <w:t xml:space="preserve"> o disposto no </w:t>
      </w:r>
      <w:r w:rsidR="00B861B7" w:rsidRPr="004650E8">
        <w:rPr>
          <w:rFonts w:eastAsia="Calibri"/>
          <w:highlight w:val="white"/>
        </w:rPr>
        <w:t xml:space="preserve">§2º do </w:t>
      </w:r>
      <w:r w:rsidRPr="004650E8">
        <w:rPr>
          <w:rFonts w:eastAsia="Calibri"/>
          <w:highlight w:val="white"/>
        </w:rPr>
        <w:t>art</w:t>
      </w:r>
      <w:r w:rsidR="00B861B7" w:rsidRPr="004650E8">
        <w:rPr>
          <w:rFonts w:eastAsia="Calibri"/>
          <w:highlight w:val="white"/>
        </w:rPr>
        <w:t xml:space="preserve">. </w:t>
      </w:r>
      <w:r w:rsidRPr="004650E8">
        <w:rPr>
          <w:rFonts w:eastAsia="Calibri"/>
          <w:highlight w:val="white"/>
        </w:rPr>
        <w:t>95 da Lei nº 14.133, de 1º de abril de 2021, que dispõe sobre a possibilidade de contrato verbal para pequenas compras ou para a prestação de serviços de pronto pagamento;</w:t>
      </w:r>
    </w:p>
    <w:p w14:paraId="0A33C867" w14:textId="77777777" w:rsidR="004C1E59" w:rsidRPr="004650E8" w:rsidRDefault="00384671" w:rsidP="004650E8">
      <w:pPr>
        <w:spacing w:line="360" w:lineRule="auto"/>
        <w:ind w:firstLine="567"/>
        <w:jc w:val="both"/>
        <w:rPr>
          <w:highlight w:val="white"/>
        </w:rPr>
      </w:pPr>
      <w:r w:rsidRPr="004650E8">
        <w:rPr>
          <w:rFonts w:eastAsia="Calibri"/>
          <w:b/>
          <w:highlight w:val="white"/>
        </w:rPr>
        <w:t>CONSIDERANDO</w:t>
      </w:r>
      <w:r w:rsidRPr="004650E8">
        <w:rPr>
          <w:rFonts w:eastAsia="Calibri"/>
          <w:highlight w:val="white"/>
        </w:rPr>
        <w:t xml:space="preserve"> a importância de se aprimorar o processo de trabalho e simplificar a gestão dos recursos utilizados por suprimentos de fundos, a fim de regulamentar o uso por meio de Cartão de Pagamento no âmbito do CAU/GO; </w:t>
      </w:r>
    </w:p>
    <w:p w14:paraId="7F9BD36F" w14:textId="77777777" w:rsidR="004C1E59" w:rsidRPr="004650E8" w:rsidRDefault="004C1E59" w:rsidP="004650E8">
      <w:pPr>
        <w:spacing w:line="360" w:lineRule="auto"/>
        <w:ind w:firstLine="1134"/>
        <w:jc w:val="both"/>
        <w:rPr>
          <w:highlight w:val="white"/>
        </w:rPr>
      </w:pPr>
    </w:p>
    <w:p w14:paraId="5C4E7531" w14:textId="5D8FB8FD" w:rsidR="001F6414" w:rsidRPr="004650E8" w:rsidRDefault="00384671" w:rsidP="004650E8">
      <w:pPr>
        <w:spacing w:line="360" w:lineRule="auto"/>
        <w:jc w:val="both"/>
        <w:rPr>
          <w:highlight w:val="white"/>
        </w:rPr>
      </w:pPr>
      <w:r w:rsidRPr="004650E8">
        <w:rPr>
          <w:rFonts w:eastAsia="Calibri"/>
          <w:b/>
          <w:highlight w:val="white"/>
        </w:rPr>
        <w:t>RESOLVE:</w:t>
      </w:r>
    </w:p>
    <w:p w14:paraId="7975D12F" w14:textId="77777777" w:rsidR="004C1E59" w:rsidRPr="004650E8" w:rsidRDefault="00384671" w:rsidP="004650E8">
      <w:pPr>
        <w:spacing w:line="360" w:lineRule="auto"/>
        <w:jc w:val="center"/>
        <w:rPr>
          <w:highlight w:val="white"/>
        </w:rPr>
      </w:pPr>
      <w:r w:rsidRPr="004650E8">
        <w:rPr>
          <w:rFonts w:eastAsia="Calibri"/>
          <w:b/>
          <w:highlight w:val="white"/>
        </w:rPr>
        <w:t>CAPÍTULO I</w:t>
      </w:r>
    </w:p>
    <w:p w14:paraId="37E6FEB9" w14:textId="77777777" w:rsidR="004C1E59" w:rsidRPr="004650E8" w:rsidRDefault="00384671" w:rsidP="004650E8">
      <w:pPr>
        <w:spacing w:line="360" w:lineRule="auto"/>
        <w:jc w:val="center"/>
        <w:rPr>
          <w:rFonts w:eastAsia="Calibri"/>
          <w:highlight w:val="white"/>
        </w:rPr>
      </w:pPr>
      <w:r w:rsidRPr="004650E8">
        <w:rPr>
          <w:rFonts w:eastAsia="Calibri"/>
          <w:b/>
          <w:highlight w:val="white"/>
        </w:rPr>
        <w:t>DAS DISPOSIÇÕES PRELIMINARES</w:t>
      </w:r>
    </w:p>
    <w:p w14:paraId="33C6CDF5" w14:textId="77777777" w:rsidR="004C1E59" w:rsidRPr="004650E8" w:rsidRDefault="00384671" w:rsidP="004650E8">
      <w:pPr>
        <w:spacing w:line="360" w:lineRule="auto"/>
        <w:jc w:val="both"/>
        <w:rPr>
          <w:highlight w:val="white"/>
        </w:rPr>
      </w:pPr>
      <w:r w:rsidRPr="004650E8">
        <w:rPr>
          <w:rFonts w:eastAsia="Calibri"/>
          <w:b/>
          <w:highlight w:val="white"/>
        </w:rPr>
        <w:t>Art. 1°.</w:t>
      </w:r>
      <w:r w:rsidRPr="004650E8">
        <w:rPr>
          <w:rFonts w:eastAsia="Calibri"/>
          <w:highlight w:val="white"/>
        </w:rPr>
        <w:t xml:space="preserve"> A concessão, aplicação e prestação de contas do suprimento de fundos no âmbito do Conselho de Arquitetura e Urbanismo de Goiás (CAU/GO)</w:t>
      </w:r>
      <w:r w:rsidR="00685431" w:rsidRPr="004650E8">
        <w:rPr>
          <w:rFonts w:eastAsia="Calibri"/>
          <w:highlight w:val="white"/>
        </w:rPr>
        <w:t>, respeitada a legislação aplicável,</w:t>
      </w:r>
      <w:r w:rsidRPr="004650E8">
        <w:rPr>
          <w:rFonts w:eastAsia="Calibri"/>
          <w:highlight w:val="white"/>
        </w:rPr>
        <w:t xml:space="preserve"> observarão as disposições desta Portaria</w:t>
      </w:r>
      <w:r w:rsidR="00685431" w:rsidRPr="004650E8">
        <w:rPr>
          <w:rFonts w:eastAsia="Calibri"/>
          <w:highlight w:val="white"/>
        </w:rPr>
        <w:t xml:space="preserve"> Normativa</w:t>
      </w:r>
      <w:r w:rsidRPr="004650E8">
        <w:rPr>
          <w:rFonts w:eastAsia="Calibri"/>
          <w:highlight w:val="white"/>
        </w:rPr>
        <w:t>.</w:t>
      </w:r>
    </w:p>
    <w:p w14:paraId="6CD8062B" w14:textId="48F2AF58" w:rsidR="004C1E59" w:rsidRPr="004650E8" w:rsidRDefault="00384671" w:rsidP="004650E8">
      <w:pPr>
        <w:spacing w:line="360" w:lineRule="auto"/>
        <w:ind w:left="720"/>
        <w:jc w:val="both"/>
        <w:rPr>
          <w:rFonts w:eastAsia="Calibri"/>
          <w:highlight w:val="white"/>
        </w:rPr>
      </w:pPr>
      <w:r w:rsidRPr="004650E8">
        <w:rPr>
          <w:rFonts w:eastAsia="Calibri"/>
          <w:b/>
          <w:highlight w:val="white"/>
        </w:rPr>
        <w:t>Parágrafo único.</w:t>
      </w:r>
      <w:r w:rsidRPr="004650E8">
        <w:rPr>
          <w:rFonts w:eastAsia="Calibri"/>
          <w:highlight w:val="white"/>
        </w:rPr>
        <w:t xml:space="preserve"> É vedada a concessão de suprimentos de fundos para realização de despesas que, por sua natureza, são passíveis de planejamento em razão de sua previsibilidade, devendo submeter-se aos procedimentos normais de aplicação consonante a legislação em vigor.</w:t>
      </w:r>
    </w:p>
    <w:p w14:paraId="36719B7A" w14:textId="77777777" w:rsidR="004C1E59" w:rsidRPr="004650E8" w:rsidRDefault="00384671" w:rsidP="004650E8">
      <w:pPr>
        <w:spacing w:line="360" w:lineRule="auto"/>
        <w:jc w:val="both"/>
        <w:rPr>
          <w:highlight w:val="white"/>
        </w:rPr>
      </w:pPr>
      <w:r w:rsidRPr="004650E8">
        <w:rPr>
          <w:rFonts w:eastAsia="Calibri"/>
          <w:b/>
          <w:highlight w:val="white"/>
        </w:rPr>
        <w:t xml:space="preserve">Art. 2º. </w:t>
      </w:r>
      <w:r w:rsidRPr="004650E8">
        <w:rPr>
          <w:rFonts w:eastAsia="Calibri"/>
          <w:highlight w:val="white"/>
        </w:rPr>
        <w:t>Para fins desta Portaria Normativa considera-se:</w:t>
      </w:r>
    </w:p>
    <w:p w14:paraId="3F667AE6" w14:textId="77777777" w:rsidR="004C1E59" w:rsidRPr="004650E8" w:rsidRDefault="00384671" w:rsidP="004650E8">
      <w:pPr>
        <w:pStyle w:val="PargrafodaLista"/>
        <w:numPr>
          <w:ilvl w:val="0"/>
          <w:numId w:val="1"/>
        </w:numPr>
        <w:spacing w:line="360" w:lineRule="auto"/>
        <w:ind w:left="851" w:hanging="142"/>
        <w:jc w:val="both"/>
        <w:rPr>
          <w:rFonts w:eastAsia="Calibri"/>
          <w:highlight w:val="white"/>
        </w:rPr>
      </w:pPr>
      <w:r w:rsidRPr="004650E8">
        <w:rPr>
          <w:rFonts w:eastAsia="Calibri"/>
          <w:b/>
          <w:bCs/>
          <w:highlight w:val="white"/>
        </w:rPr>
        <w:t>Suprimento de fundos:</w:t>
      </w:r>
      <w:r w:rsidRPr="004650E8">
        <w:rPr>
          <w:rFonts w:eastAsia="Calibri"/>
          <w:highlight w:val="white"/>
        </w:rPr>
        <w:t xml:space="preserve"> a modalidade de pagamento de despesa que, por sua característica e excepcionalidade, pode ser realizada sem se subordinar ao processo normal de execução orçamentária e financeira, sempre precedida de empenho em dotação própria, consistindo em disponibilização de limite ou recurso a agente público do CAU/GO, a critério e sob inteira responsabilidade do ordenador de despesa</w:t>
      </w:r>
      <w:r w:rsidR="004D649C" w:rsidRPr="004650E8">
        <w:rPr>
          <w:rFonts w:eastAsia="Calibri"/>
          <w:highlight w:val="white"/>
        </w:rPr>
        <w:t>;</w:t>
      </w:r>
    </w:p>
    <w:p w14:paraId="5985B2C1" w14:textId="77777777" w:rsidR="004C1E59" w:rsidRPr="004650E8" w:rsidRDefault="00384671" w:rsidP="004650E8">
      <w:pPr>
        <w:pStyle w:val="PargrafodaLista"/>
        <w:numPr>
          <w:ilvl w:val="0"/>
          <w:numId w:val="1"/>
        </w:numPr>
        <w:spacing w:line="360" w:lineRule="auto"/>
        <w:ind w:left="851" w:hanging="142"/>
        <w:contextualSpacing w:val="0"/>
        <w:jc w:val="both"/>
        <w:rPr>
          <w:highlight w:val="white"/>
        </w:rPr>
      </w:pPr>
      <w:r w:rsidRPr="004650E8">
        <w:rPr>
          <w:rFonts w:eastAsia="Calibri"/>
          <w:b/>
          <w:bCs/>
          <w:highlight w:val="white"/>
        </w:rPr>
        <w:t>Empenho:</w:t>
      </w:r>
      <w:r w:rsidRPr="004650E8">
        <w:rPr>
          <w:rFonts w:eastAsia="Calibri"/>
          <w:highlight w:val="white"/>
        </w:rPr>
        <w:t xml:space="preserve"> ato baixado pel</w:t>
      </w:r>
      <w:r w:rsidR="004D649C" w:rsidRPr="004650E8">
        <w:rPr>
          <w:rFonts w:eastAsia="Calibri"/>
          <w:highlight w:val="white"/>
        </w:rPr>
        <w:t>a</w:t>
      </w:r>
      <w:r w:rsidRPr="004650E8">
        <w:rPr>
          <w:rFonts w:eastAsia="Calibri"/>
          <w:highlight w:val="white"/>
        </w:rPr>
        <w:t xml:space="preserve"> </w:t>
      </w:r>
      <w:r w:rsidR="004D649C" w:rsidRPr="004650E8">
        <w:rPr>
          <w:rFonts w:eastAsia="Calibri"/>
          <w:highlight w:val="white"/>
        </w:rPr>
        <w:t>autoridade competente</w:t>
      </w:r>
      <w:r w:rsidRPr="004650E8">
        <w:rPr>
          <w:rFonts w:eastAsia="Calibri"/>
          <w:highlight w:val="white"/>
        </w:rPr>
        <w:t xml:space="preserve"> cria para o CAU/GO obrigação de pagamento, não podendo exceder ao limite dos créditos concedidos nem ao prazo de aplicação determinado;</w:t>
      </w:r>
    </w:p>
    <w:p w14:paraId="792770D9" w14:textId="77777777" w:rsidR="004C1E59" w:rsidRPr="004650E8" w:rsidRDefault="00384671" w:rsidP="004650E8">
      <w:pPr>
        <w:pStyle w:val="PargrafodaLista"/>
        <w:numPr>
          <w:ilvl w:val="0"/>
          <w:numId w:val="1"/>
        </w:numPr>
        <w:spacing w:line="360" w:lineRule="auto"/>
        <w:ind w:left="851" w:hanging="142"/>
        <w:contextualSpacing w:val="0"/>
        <w:jc w:val="both"/>
        <w:rPr>
          <w:highlight w:val="white"/>
        </w:rPr>
      </w:pPr>
      <w:r w:rsidRPr="004650E8">
        <w:rPr>
          <w:rFonts w:eastAsia="Calibri"/>
          <w:b/>
          <w:bCs/>
          <w:highlight w:val="white"/>
        </w:rPr>
        <w:t>Ordenador de Despesa:</w:t>
      </w:r>
      <w:r w:rsidRPr="004650E8">
        <w:rPr>
          <w:rFonts w:eastAsia="Calibri"/>
          <w:highlight w:val="white"/>
        </w:rPr>
        <w:t xml:space="preserve"> pessoa responsável pela gestão dos recursos do CAU/GO, de cujos atos resultem a emissão de autorização de concessão de suprimento de fundos e, consequentemente, a autorização de pagamentos;</w:t>
      </w:r>
    </w:p>
    <w:p w14:paraId="792133C2" w14:textId="77777777" w:rsidR="004C1E59" w:rsidRPr="004650E8" w:rsidRDefault="00384671" w:rsidP="004650E8">
      <w:pPr>
        <w:pStyle w:val="PargrafodaLista"/>
        <w:numPr>
          <w:ilvl w:val="0"/>
          <w:numId w:val="1"/>
        </w:numPr>
        <w:spacing w:line="360" w:lineRule="auto"/>
        <w:ind w:left="851" w:hanging="142"/>
        <w:contextualSpacing w:val="0"/>
        <w:jc w:val="both"/>
        <w:rPr>
          <w:rFonts w:eastAsia="Calibri"/>
          <w:highlight w:val="white"/>
        </w:rPr>
      </w:pPr>
      <w:r w:rsidRPr="004650E8">
        <w:rPr>
          <w:rFonts w:eastAsia="Calibri"/>
          <w:b/>
          <w:bCs/>
          <w:highlight w:val="white"/>
        </w:rPr>
        <w:t>Suprido:</w:t>
      </w:r>
      <w:r w:rsidRPr="004650E8">
        <w:rPr>
          <w:rFonts w:eastAsia="Calibri"/>
          <w:highlight w:val="white"/>
        </w:rPr>
        <w:t xml:space="preserve"> empregado público que detenha autorização para proceder à execução financeira, com destinação estabelecida pelo ordenador de despesa, sendo responsável pela aplicação e comprovação dos recursos recebidos a título de suprimento de fundos;</w:t>
      </w:r>
    </w:p>
    <w:p w14:paraId="09CB8E4B" w14:textId="77777777" w:rsidR="004C1E59" w:rsidRPr="004650E8" w:rsidRDefault="00384671" w:rsidP="004650E8">
      <w:pPr>
        <w:pStyle w:val="PargrafodaLista"/>
        <w:numPr>
          <w:ilvl w:val="0"/>
          <w:numId w:val="1"/>
        </w:numPr>
        <w:spacing w:line="360" w:lineRule="auto"/>
        <w:ind w:left="851" w:hanging="142"/>
        <w:contextualSpacing w:val="0"/>
        <w:jc w:val="both"/>
        <w:rPr>
          <w:rFonts w:eastAsia="Calibri"/>
          <w:highlight w:val="white"/>
        </w:rPr>
      </w:pPr>
      <w:r w:rsidRPr="004650E8">
        <w:rPr>
          <w:rFonts w:eastAsia="Calibri"/>
          <w:b/>
          <w:bCs/>
          <w:highlight w:val="white"/>
        </w:rPr>
        <w:t>Pequenas despesas e de pronto pagamento:</w:t>
      </w:r>
      <w:r w:rsidRPr="004650E8">
        <w:rPr>
          <w:rFonts w:eastAsia="Calibri"/>
          <w:highlight w:val="white"/>
        </w:rPr>
        <w:t xml:space="preserve"> aquisições de materiais e contratações de serviços de fornecedor, seja pessoa física ou jurídica, cujo montante de concessão seja igual ou inferior ao </w:t>
      </w:r>
      <w:r w:rsidRPr="004650E8">
        <w:rPr>
          <w:rFonts w:eastAsia="Calibri"/>
        </w:rPr>
        <w:t>determinado no artigo</w:t>
      </w:r>
      <w:r w:rsidR="00B171AE" w:rsidRPr="004650E8">
        <w:rPr>
          <w:rFonts w:eastAsia="Calibri"/>
        </w:rPr>
        <w:t xml:space="preserve"> 12</w:t>
      </w:r>
      <w:r w:rsidRPr="004650E8">
        <w:rPr>
          <w:rFonts w:eastAsia="Calibri"/>
        </w:rPr>
        <w:t xml:space="preserve"> </w:t>
      </w:r>
      <w:r w:rsidRPr="004650E8">
        <w:rPr>
          <w:rFonts w:eastAsia="Calibri"/>
          <w:highlight w:val="white"/>
        </w:rPr>
        <w:t>desta Portaria</w:t>
      </w:r>
      <w:r w:rsidR="004D649C" w:rsidRPr="004650E8">
        <w:rPr>
          <w:rFonts w:eastAsia="Calibri"/>
          <w:highlight w:val="white"/>
        </w:rPr>
        <w:t xml:space="preserve"> Normativa</w:t>
      </w:r>
      <w:r w:rsidRPr="004650E8">
        <w:rPr>
          <w:rFonts w:eastAsia="Calibri"/>
          <w:highlight w:val="white"/>
        </w:rPr>
        <w:t>;</w:t>
      </w:r>
    </w:p>
    <w:p w14:paraId="7586E849" w14:textId="121E7D3C" w:rsidR="004650E8" w:rsidRPr="004650E8" w:rsidRDefault="00384671" w:rsidP="004650E8">
      <w:pPr>
        <w:pStyle w:val="PargrafodaLista"/>
        <w:numPr>
          <w:ilvl w:val="0"/>
          <w:numId w:val="1"/>
        </w:numPr>
        <w:spacing w:line="360" w:lineRule="auto"/>
        <w:ind w:left="851" w:hanging="142"/>
        <w:contextualSpacing w:val="0"/>
        <w:jc w:val="both"/>
        <w:rPr>
          <w:rFonts w:eastAsia="Calibri"/>
          <w:highlight w:val="white"/>
        </w:rPr>
      </w:pPr>
      <w:r w:rsidRPr="004650E8">
        <w:rPr>
          <w:rFonts w:eastAsia="Calibri"/>
          <w:b/>
          <w:bCs/>
          <w:highlight w:val="white"/>
        </w:rPr>
        <w:t>Cartão de Pagamento:</w:t>
      </w:r>
      <w:r w:rsidRPr="004650E8">
        <w:rPr>
          <w:rFonts w:eastAsia="Calibri"/>
          <w:highlight w:val="white"/>
        </w:rPr>
        <w:t xml:space="preserve"> instrumento de pagamento emitido em nome do CAU/GO, operacionaliza</w:t>
      </w:r>
      <w:r w:rsidR="004D649C" w:rsidRPr="004650E8">
        <w:rPr>
          <w:rFonts w:eastAsia="Calibri"/>
          <w:highlight w:val="white"/>
        </w:rPr>
        <w:t>do</w:t>
      </w:r>
      <w:r w:rsidRPr="004650E8">
        <w:rPr>
          <w:rFonts w:eastAsia="Calibri"/>
          <w:highlight w:val="white"/>
        </w:rPr>
        <w:t xml:space="preserve"> por instituição financeira autorizada, utilizado exclusivamente pelo portador nele identificado, nos casos indicados em ato próprio do ordenador de despesa</w:t>
      </w:r>
      <w:r w:rsidR="00A4364E" w:rsidRPr="004650E8">
        <w:rPr>
          <w:rFonts w:eastAsia="Calibri"/>
          <w:highlight w:val="white"/>
        </w:rPr>
        <w:t>.</w:t>
      </w:r>
    </w:p>
    <w:p w14:paraId="6C2BACFB"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Art. 3º.</w:t>
      </w:r>
      <w:r w:rsidRPr="004650E8">
        <w:rPr>
          <w:rFonts w:eastAsia="Calibri"/>
          <w:highlight w:val="white"/>
        </w:rPr>
        <w:t xml:space="preserve"> Podem ser realizadas pelo regime de suprimento de fundos as seguintes despesas:</w:t>
      </w:r>
    </w:p>
    <w:p w14:paraId="6297F711" w14:textId="77777777" w:rsidR="00D6214A" w:rsidRPr="004650E8" w:rsidRDefault="00D6214A" w:rsidP="004650E8">
      <w:pPr>
        <w:pStyle w:val="PargrafodaLista"/>
        <w:numPr>
          <w:ilvl w:val="0"/>
          <w:numId w:val="2"/>
        </w:numPr>
        <w:spacing w:line="360" w:lineRule="auto"/>
        <w:ind w:left="851" w:hanging="142"/>
        <w:contextualSpacing w:val="0"/>
        <w:jc w:val="both"/>
        <w:rPr>
          <w:rFonts w:eastAsia="Calibri"/>
          <w:highlight w:val="white"/>
        </w:rPr>
      </w:pPr>
      <w:r w:rsidRPr="004650E8">
        <w:rPr>
          <w:rFonts w:eastAsia="Calibri"/>
          <w:highlight w:val="white"/>
        </w:rPr>
        <w:t xml:space="preserve">Miúdas e de pronto pagamento, na sede do CAU/GO e nos locais em que ele esteja temporariamente instalado, </w:t>
      </w:r>
      <w:r w:rsidRPr="004650E8">
        <w:t>ou em lugar distante da sede, inclusive em viagens, quando não puder se subordinar ao regime normal de pagamento</w:t>
      </w:r>
      <w:r w:rsidRPr="004650E8">
        <w:rPr>
          <w:rFonts w:eastAsia="Calibri"/>
          <w:highlight w:val="white"/>
        </w:rPr>
        <w:t>;</w:t>
      </w:r>
    </w:p>
    <w:p w14:paraId="7AEE37F1" w14:textId="77777777" w:rsidR="004C1E59" w:rsidRPr="004650E8" w:rsidRDefault="00A15853" w:rsidP="004650E8">
      <w:pPr>
        <w:pStyle w:val="PargrafodaLista"/>
        <w:numPr>
          <w:ilvl w:val="0"/>
          <w:numId w:val="2"/>
        </w:numPr>
        <w:spacing w:line="360" w:lineRule="auto"/>
        <w:ind w:left="851" w:hanging="142"/>
        <w:contextualSpacing w:val="0"/>
        <w:jc w:val="both"/>
        <w:rPr>
          <w:rFonts w:eastAsia="Calibri"/>
          <w:highlight w:val="white"/>
        </w:rPr>
      </w:pPr>
      <w:r w:rsidRPr="004650E8">
        <w:rPr>
          <w:rFonts w:eastAsia="Calibri"/>
          <w:highlight w:val="white"/>
        </w:rPr>
        <w:t xml:space="preserve">Com bens ou serviços de caráter extraordinário e urgente, </w:t>
      </w:r>
      <w:r w:rsidRPr="004650E8">
        <w:rPr>
          <w:rFonts w:eastAsia="Calibri"/>
        </w:rPr>
        <w:t>que</w:t>
      </w:r>
      <w:r w:rsidRPr="004650E8">
        <w:t xml:space="preserve"> não permitam embaraços que retardem a execução de um ato, desde que devidamente justificada a inviabilidade de sua realização pelo processo normal de despesa pública</w:t>
      </w:r>
      <w:r w:rsidRPr="004650E8">
        <w:rPr>
          <w:rFonts w:eastAsia="Calibri"/>
          <w:highlight w:val="white"/>
        </w:rPr>
        <w:t>;</w:t>
      </w:r>
    </w:p>
    <w:p w14:paraId="1FE5008E" w14:textId="77777777" w:rsidR="004C1E59" w:rsidRPr="004650E8" w:rsidRDefault="00384671" w:rsidP="004650E8">
      <w:pPr>
        <w:pStyle w:val="PargrafodaLista"/>
        <w:numPr>
          <w:ilvl w:val="0"/>
          <w:numId w:val="2"/>
        </w:numPr>
        <w:spacing w:line="360" w:lineRule="auto"/>
        <w:ind w:left="851" w:hanging="142"/>
        <w:contextualSpacing w:val="0"/>
        <w:jc w:val="both"/>
        <w:rPr>
          <w:rFonts w:eastAsia="Calibri"/>
          <w:highlight w:val="white"/>
        </w:rPr>
      </w:pPr>
      <w:r w:rsidRPr="004650E8">
        <w:rPr>
          <w:rFonts w:eastAsia="Calibri"/>
          <w:highlight w:val="white"/>
        </w:rPr>
        <w:t xml:space="preserve">Com a conservação de bens móveis e imóveis, quando a demora na realização do pagamento possa afetar o funcionamento do CAU/GO ou de equipamento, veículo e materiais imprescindíveis </w:t>
      </w:r>
      <w:r w:rsidR="00A15853" w:rsidRPr="004650E8">
        <w:rPr>
          <w:rFonts w:eastAsia="Calibri"/>
          <w:highlight w:val="white"/>
        </w:rPr>
        <w:t>à</w:t>
      </w:r>
      <w:r w:rsidRPr="004650E8">
        <w:rPr>
          <w:rFonts w:eastAsia="Calibri"/>
          <w:highlight w:val="white"/>
        </w:rPr>
        <w:t xml:space="preserve"> sua atividade</w:t>
      </w:r>
      <w:r w:rsidR="00A4364E" w:rsidRPr="004650E8">
        <w:rPr>
          <w:rFonts w:eastAsia="Calibri"/>
          <w:highlight w:val="white"/>
        </w:rPr>
        <w:t>;</w:t>
      </w:r>
    </w:p>
    <w:p w14:paraId="2F52FF8F" w14:textId="77777777" w:rsidR="004C1E59" w:rsidRPr="004650E8" w:rsidRDefault="00384671" w:rsidP="004650E8">
      <w:pPr>
        <w:pStyle w:val="PargrafodaLista"/>
        <w:numPr>
          <w:ilvl w:val="0"/>
          <w:numId w:val="2"/>
        </w:numPr>
        <w:spacing w:line="360" w:lineRule="auto"/>
        <w:ind w:left="851" w:hanging="142"/>
        <w:contextualSpacing w:val="0"/>
        <w:jc w:val="both"/>
        <w:rPr>
          <w:rFonts w:eastAsia="Calibri"/>
          <w:highlight w:val="white"/>
        </w:rPr>
      </w:pPr>
      <w:r w:rsidRPr="004650E8">
        <w:rPr>
          <w:rFonts w:eastAsia="Calibri"/>
          <w:highlight w:val="white"/>
        </w:rPr>
        <w:t>Com combustíveis, materiais e serviços para a conservação de veículos quando em viagem a serviço, fora da sede</w:t>
      </w:r>
      <w:r w:rsidR="00A4364E" w:rsidRPr="004650E8">
        <w:rPr>
          <w:rFonts w:eastAsia="Calibri"/>
          <w:highlight w:val="white"/>
        </w:rPr>
        <w:t xml:space="preserve"> do CAU/GO</w:t>
      </w:r>
      <w:r w:rsidR="00A15853" w:rsidRPr="004650E8">
        <w:rPr>
          <w:rFonts w:eastAsia="Calibri"/>
          <w:highlight w:val="white"/>
        </w:rPr>
        <w:t>, quando não for possível a utilização dos serviços de gerenciamento de frota eventualmente contratados.</w:t>
      </w:r>
    </w:p>
    <w:p w14:paraId="1E22DEBA" w14:textId="77777777" w:rsidR="0031082F" w:rsidRPr="004650E8" w:rsidRDefault="00384671" w:rsidP="004650E8">
      <w:pPr>
        <w:spacing w:line="360" w:lineRule="auto"/>
        <w:jc w:val="both"/>
      </w:pPr>
      <w:r w:rsidRPr="004650E8">
        <w:rPr>
          <w:rFonts w:eastAsia="Calibri"/>
          <w:b/>
          <w:highlight w:val="white"/>
        </w:rPr>
        <w:t>Art. 4°</w:t>
      </w:r>
      <w:r w:rsidRPr="004650E8">
        <w:rPr>
          <w:rFonts w:eastAsia="Calibri"/>
          <w:highlight w:val="white"/>
        </w:rPr>
        <w:t xml:space="preserve">. </w:t>
      </w:r>
      <w:r w:rsidR="00F75C88" w:rsidRPr="004650E8">
        <w:rPr>
          <w:rFonts w:eastAsia="Calibri"/>
        </w:rPr>
        <w:t>É vedada a aqui</w:t>
      </w:r>
      <w:r w:rsidR="0031082F" w:rsidRPr="004650E8">
        <w:t>sição de material permanente ou outra mutação patrimonial classificada como despesa de capital</w:t>
      </w:r>
      <w:r w:rsidR="00F75C88" w:rsidRPr="004650E8">
        <w:t xml:space="preserve"> por suprimento de fundos, ressalvados os casos excepcionais devidamente reconhecidos pelo ordenador de despesa e em consonância com as normas que disciplinam a matéria.</w:t>
      </w:r>
    </w:p>
    <w:p w14:paraId="02BE23A1" w14:textId="3A618DA7" w:rsidR="00006B8D" w:rsidRPr="004650E8" w:rsidRDefault="00006B8D" w:rsidP="004650E8">
      <w:pPr>
        <w:spacing w:line="360" w:lineRule="auto"/>
        <w:ind w:left="720"/>
        <w:jc w:val="both"/>
        <w:rPr>
          <w:b/>
          <w:bCs/>
        </w:rPr>
      </w:pPr>
      <w:r w:rsidRPr="004650E8">
        <w:rPr>
          <w:rFonts w:eastAsia="Calibri"/>
          <w:b/>
          <w:bCs/>
          <w:highlight w:val="white"/>
        </w:rPr>
        <w:lastRenderedPageBreak/>
        <w:t>§1º</w:t>
      </w:r>
      <w:r w:rsidRPr="004650E8">
        <w:rPr>
          <w:rFonts w:eastAsia="Calibri"/>
          <w:b/>
          <w:highlight w:val="white"/>
        </w:rPr>
        <w:t>.</w:t>
      </w:r>
      <w:r w:rsidRPr="004650E8">
        <w:rPr>
          <w:rFonts w:eastAsia="Calibri"/>
          <w:highlight w:val="white"/>
        </w:rPr>
        <w:t xml:space="preserve"> Em caso de dúvida na aquisição de algum material quanto à classificação de sua natureza se consumo ou permanente, deverá ser realizada consulta formal antes de sua aquisição ao setor de patrimônio ou o equivalente do CAU/GO.</w:t>
      </w:r>
    </w:p>
    <w:p w14:paraId="3AC74DE0" w14:textId="4F547B69" w:rsidR="0031082F" w:rsidRPr="004650E8" w:rsidRDefault="00006B8D" w:rsidP="004650E8">
      <w:pPr>
        <w:spacing w:line="360" w:lineRule="auto"/>
        <w:ind w:left="720"/>
        <w:jc w:val="both"/>
        <w:rPr>
          <w:rFonts w:eastAsia="Calibri"/>
          <w:highlight w:val="white"/>
        </w:rPr>
      </w:pPr>
      <w:r w:rsidRPr="004650E8">
        <w:rPr>
          <w:rFonts w:eastAsia="Calibri"/>
          <w:b/>
          <w:bCs/>
          <w:highlight w:val="white"/>
        </w:rPr>
        <w:t>§2º</w:t>
      </w:r>
      <w:r w:rsidRPr="004650E8">
        <w:rPr>
          <w:rFonts w:eastAsia="Calibri"/>
          <w:b/>
          <w:highlight w:val="white"/>
        </w:rPr>
        <w:t>.</w:t>
      </w:r>
      <w:r w:rsidRPr="004650E8">
        <w:rPr>
          <w:rFonts w:eastAsia="Calibri"/>
          <w:highlight w:val="white"/>
        </w:rPr>
        <w:t xml:space="preserve"> </w:t>
      </w:r>
      <w:r w:rsidR="0031082F" w:rsidRPr="004650E8">
        <w:t>O ordenador de despesa poderá subdelegar a competência para autorizar a aquisição a que se refere o caput deste artigo e também a análise e aprovação da prestação de contas do suprimento de fundos.</w:t>
      </w:r>
    </w:p>
    <w:p w14:paraId="0B036F15" w14:textId="77777777" w:rsidR="004C1E59" w:rsidRPr="004650E8" w:rsidRDefault="0031082F" w:rsidP="004650E8">
      <w:pPr>
        <w:spacing w:line="360" w:lineRule="auto"/>
        <w:jc w:val="both"/>
        <w:rPr>
          <w:rFonts w:eastAsia="Calibri"/>
          <w:highlight w:val="white"/>
        </w:rPr>
      </w:pPr>
      <w:r w:rsidRPr="004650E8">
        <w:rPr>
          <w:rFonts w:eastAsia="Calibri"/>
          <w:b/>
          <w:bCs/>
          <w:highlight w:val="white"/>
        </w:rPr>
        <w:t>Art. 5º.</w:t>
      </w:r>
      <w:r w:rsidRPr="004650E8">
        <w:rPr>
          <w:rFonts w:eastAsia="Calibri"/>
          <w:highlight w:val="white"/>
        </w:rPr>
        <w:t xml:space="preserve"> O adiantamento do suprimento de fundos será precedido de nota de empenho em dotação própria. </w:t>
      </w:r>
    </w:p>
    <w:p w14:paraId="1DC930E7" w14:textId="77777777" w:rsidR="004C1E59" w:rsidRPr="004650E8" w:rsidRDefault="00384671" w:rsidP="004650E8">
      <w:pPr>
        <w:spacing w:line="360" w:lineRule="auto"/>
        <w:ind w:left="720"/>
        <w:jc w:val="both"/>
        <w:rPr>
          <w:rFonts w:eastAsia="Calibri"/>
          <w:highlight w:val="white"/>
        </w:rPr>
      </w:pPr>
      <w:r w:rsidRPr="004650E8">
        <w:rPr>
          <w:rFonts w:eastAsia="Calibri"/>
          <w:b/>
          <w:highlight w:val="white"/>
        </w:rPr>
        <w:t>Parágrafo único.</w:t>
      </w:r>
      <w:r w:rsidRPr="004650E8">
        <w:rPr>
          <w:rFonts w:eastAsia="Calibri"/>
          <w:highlight w:val="white"/>
        </w:rPr>
        <w:t xml:space="preserve"> Poderá ser emitida nota de empenho por estimativa para concessão de suprimento de fundo no decurso do exercício, e nas quais serão feitas as deduções de cada valor concedido.</w:t>
      </w:r>
    </w:p>
    <w:p w14:paraId="40289182" w14:textId="77777777" w:rsidR="004650E8" w:rsidRPr="004650E8" w:rsidRDefault="004650E8" w:rsidP="004650E8">
      <w:pPr>
        <w:spacing w:line="360" w:lineRule="auto"/>
        <w:jc w:val="center"/>
        <w:rPr>
          <w:rFonts w:eastAsia="Calibri"/>
          <w:b/>
          <w:highlight w:val="white"/>
        </w:rPr>
      </w:pPr>
    </w:p>
    <w:p w14:paraId="3F179613" w14:textId="77777777" w:rsidR="004C1E59" w:rsidRPr="004650E8" w:rsidRDefault="00384671" w:rsidP="004650E8">
      <w:pPr>
        <w:spacing w:line="360" w:lineRule="auto"/>
        <w:jc w:val="center"/>
        <w:rPr>
          <w:rFonts w:eastAsia="Calibri"/>
          <w:highlight w:val="white"/>
        </w:rPr>
      </w:pPr>
      <w:r w:rsidRPr="004650E8">
        <w:rPr>
          <w:rFonts w:eastAsia="Calibri"/>
          <w:b/>
          <w:highlight w:val="white"/>
        </w:rPr>
        <w:t>CAPÍTULO II</w:t>
      </w:r>
    </w:p>
    <w:p w14:paraId="06E53D1C" w14:textId="77777777" w:rsidR="004C1E59" w:rsidRPr="004650E8" w:rsidRDefault="00384671" w:rsidP="004650E8">
      <w:pPr>
        <w:spacing w:line="360" w:lineRule="auto"/>
        <w:jc w:val="center"/>
        <w:rPr>
          <w:rFonts w:eastAsia="Calibri"/>
          <w:b/>
          <w:highlight w:val="white"/>
        </w:rPr>
      </w:pPr>
      <w:r w:rsidRPr="004650E8">
        <w:rPr>
          <w:rFonts w:eastAsia="Calibri"/>
          <w:b/>
          <w:highlight w:val="white"/>
        </w:rPr>
        <w:t>DOS CRITÉRIOS PARA CONCESSÃO DO SUPRIMENTO DE FUNDOS</w:t>
      </w:r>
    </w:p>
    <w:p w14:paraId="415F19DC" w14:textId="77777777" w:rsidR="004650E8" w:rsidRPr="004650E8" w:rsidRDefault="004650E8" w:rsidP="004650E8">
      <w:pPr>
        <w:spacing w:line="360" w:lineRule="auto"/>
        <w:jc w:val="center"/>
        <w:rPr>
          <w:rFonts w:eastAsia="Calibri"/>
          <w:highlight w:val="white"/>
        </w:rPr>
      </w:pPr>
    </w:p>
    <w:p w14:paraId="2366055C"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 xml:space="preserve">Art. </w:t>
      </w:r>
      <w:r w:rsidR="00D85EEC" w:rsidRPr="004650E8">
        <w:rPr>
          <w:rFonts w:eastAsia="Calibri"/>
          <w:b/>
          <w:highlight w:val="white"/>
        </w:rPr>
        <w:t>6</w:t>
      </w:r>
      <w:r w:rsidRPr="004650E8">
        <w:rPr>
          <w:rFonts w:eastAsia="Calibri"/>
          <w:b/>
          <w:highlight w:val="white"/>
        </w:rPr>
        <w:t xml:space="preserve">º. </w:t>
      </w:r>
      <w:r w:rsidRPr="004650E8">
        <w:rPr>
          <w:rFonts w:eastAsia="Calibri"/>
          <w:highlight w:val="white"/>
        </w:rPr>
        <w:t>O CAU/GO, mediante ato autorizativo do ordenador de despesas, concederá suprimento de fundos aos empregados públicos</w:t>
      </w:r>
      <w:r w:rsidR="00820FDC" w:rsidRPr="004650E8">
        <w:rPr>
          <w:rFonts w:eastAsia="Calibri"/>
          <w:highlight w:val="white"/>
        </w:rPr>
        <w:t>,</w:t>
      </w:r>
      <w:r w:rsidRPr="004650E8">
        <w:rPr>
          <w:rFonts w:eastAsia="Calibri"/>
          <w:highlight w:val="white"/>
        </w:rPr>
        <w:t xml:space="preserve"> efetivos</w:t>
      </w:r>
      <w:r w:rsidR="00820FDC" w:rsidRPr="004650E8">
        <w:rPr>
          <w:rFonts w:eastAsia="Calibri"/>
          <w:highlight w:val="white"/>
        </w:rPr>
        <w:t xml:space="preserve"> ou comissionados, </w:t>
      </w:r>
      <w:r w:rsidRPr="004650E8">
        <w:rPr>
          <w:rFonts w:eastAsia="Calibri"/>
          <w:highlight w:val="white"/>
        </w:rPr>
        <w:t xml:space="preserve">e que atendam, </w:t>
      </w:r>
      <w:r w:rsidRPr="004650E8">
        <w:rPr>
          <w:rFonts w:eastAsia="Calibri"/>
          <w:b/>
          <w:bCs/>
          <w:highlight w:val="white"/>
        </w:rPr>
        <w:t>simultaneamente</w:t>
      </w:r>
      <w:r w:rsidRPr="004650E8">
        <w:rPr>
          <w:rFonts w:eastAsia="Calibri"/>
          <w:highlight w:val="white"/>
        </w:rPr>
        <w:t>, às seguintes condições:</w:t>
      </w:r>
    </w:p>
    <w:p w14:paraId="1BE85804" w14:textId="77777777" w:rsidR="004C1E59" w:rsidRPr="004650E8" w:rsidRDefault="00384671" w:rsidP="004650E8">
      <w:pPr>
        <w:pStyle w:val="PargrafodaLista"/>
        <w:numPr>
          <w:ilvl w:val="0"/>
          <w:numId w:val="3"/>
        </w:numPr>
        <w:spacing w:line="360" w:lineRule="auto"/>
        <w:ind w:left="851" w:hanging="216"/>
        <w:contextualSpacing w:val="0"/>
        <w:jc w:val="both"/>
        <w:rPr>
          <w:rFonts w:eastAsia="Calibri"/>
          <w:highlight w:val="white"/>
        </w:rPr>
      </w:pPr>
      <w:r w:rsidRPr="004650E8">
        <w:rPr>
          <w:rFonts w:eastAsia="Calibri"/>
          <w:highlight w:val="white"/>
        </w:rPr>
        <w:t>Estejam em efetivo exercício;</w:t>
      </w:r>
    </w:p>
    <w:p w14:paraId="3B8550C5" w14:textId="77777777" w:rsidR="004C1E59" w:rsidRPr="004650E8" w:rsidRDefault="00384671" w:rsidP="004650E8">
      <w:pPr>
        <w:pStyle w:val="PargrafodaLista"/>
        <w:numPr>
          <w:ilvl w:val="0"/>
          <w:numId w:val="3"/>
        </w:numPr>
        <w:spacing w:line="360" w:lineRule="auto"/>
        <w:ind w:left="851" w:hanging="142"/>
        <w:contextualSpacing w:val="0"/>
        <w:jc w:val="both"/>
        <w:rPr>
          <w:rFonts w:eastAsia="Calibri"/>
          <w:highlight w:val="white"/>
        </w:rPr>
      </w:pPr>
      <w:r w:rsidRPr="004650E8">
        <w:rPr>
          <w:rFonts w:eastAsia="Calibri"/>
          <w:highlight w:val="white"/>
        </w:rPr>
        <w:t>Não estejam em atraso com prestação de contas de suprimento de fundos anterior;</w:t>
      </w:r>
    </w:p>
    <w:p w14:paraId="04785BB4" w14:textId="77777777" w:rsidR="004C1E59" w:rsidRPr="004650E8" w:rsidRDefault="00384671" w:rsidP="004650E8">
      <w:pPr>
        <w:pStyle w:val="PargrafodaLista"/>
        <w:numPr>
          <w:ilvl w:val="0"/>
          <w:numId w:val="3"/>
        </w:numPr>
        <w:spacing w:line="360" w:lineRule="auto"/>
        <w:ind w:left="851" w:hanging="142"/>
        <w:contextualSpacing w:val="0"/>
        <w:jc w:val="both"/>
        <w:rPr>
          <w:rFonts w:eastAsia="Calibri"/>
          <w:highlight w:val="white"/>
        </w:rPr>
      </w:pPr>
      <w:r w:rsidRPr="004650E8">
        <w:rPr>
          <w:rFonts w:eastAsia="Calibri"/>
          <w:highlight w:val="white"/>
        </w:rPr>
        <w:t>Não sejam responsáveis pois dois suprimentos de fundos em fase de aplicação e/ou de prestação de contas;</w:t>
      </w:r>
    </w:p>
    <w:p w14:paraId="1862BC78" w14:textId="77777777" w:rsidR="004C1E59" w:rsidRPr="004650E8" w:rsidRDefault="00384671" w:rsidP="004650E8">
      <w:pPr>
        <w:pStyle w:val="PargrafodaLista"/>
        <w:numPr>
          <w:ilvl w:val="0"/>
          <w:numId w:val="3"/>
        </w:numPr>
        <w:spacing w:line="360" w:lineRule="auto"/>
        <w:ind w:left="851" w:hanging="142"/>
        <w:contextualSpacing w:val="0"/>
        <w:jc w:val="both"/>
        <w:rPr>
          <w:rFonts w:eastAsia="Calibri"/>
          <w:highlight w:val="white"/>
        </w:rPr>
      </w:pPr>
      <w:r w:rsidRPr="004650E8">
        <w:rPr>
          <w:rFonts w:eastAsia="Calibri"/>
          <w:highlight w:val="white"/>
        </w:rPr>
        <w:t xml:space="preserve">Não esteja declarado em alcance, entendido como tal o que não prestou contas no prazo regulamentar, ou o que teve suas contas recusadas ou impugnadas total ou parcialmente, em virtude de desvio, desfalque, falta, má aplicação dos recursos recebidos ou outra irregularidade de que resulte prejuízo ao CAU/GO; </w:t>
      </w:r>
    </w:p>
    <w:p w14:paraId="1EE5044A" w14:textId="77777777" w:rsidR="004C1E59" w:rsidRPr="004650E8" w:rsidRDefault="00384671" w:rsidP="004650E8">
      <w:pPr>
        <w:pStyle w:val="PargrafodaLista"/>
        <w:numPr>
          <w:ilvl w:val="0"/>
          <w:numId w:val="3"/>
        </w:numPr>
        <w:spacing w:line="360" w:lineRule="auto"/>
        <w:ind w:left="851" w:hanging="142"/>
        <w:contextualSpacing w:val="0"/>
        <w:jc w:val="both"/>
        <w:rPr>
          <w:rFonts w:eastAsia="Calibri"/>
          <w:highlight w:val="white"/>
        </w:rPr>
      </w:pPr>
      <w:r w:rsidRPr="004650E8">
        <w:rPr>
          <w:rFonts w:eastAsia="Calibri"/>
          <w:highlight w:val="white"/>
        </w:rPr>
        <w:t>Não sejam formalmente responsáveis pela guarda ou utilização do material de consumo a ser adquirido, salvo quando não houver na área outro agente;</w:t>
      </w:r>
    </w:p>
    <w:p w14:paraId="52E2434E" w14:textId="77777777" w:rsidR="004C1E59" w:rsidRPr="004650E8" w:rsidRDefault="00384671" w:rsidP="004650E8">
      <w:pPr>
        <w:pStyle w:val="PargrafodaLista"/>
        <w:numPr>
          <w:ilvl w:val="0"/>
          <w:numId w:val="3"/>
        </w:numPr>
        <w:spacing w:line="360" w:lineRule="auto"/>
        <w:ind w:left="851" w:hanging="142"/>
        <w:contextualSpacing w:val="0"/>
        <w:jc w:val="both"/>
        <w:rPr>
          <w:rFonts w:eastAsia="Calibri"/>
          <w:highlight w:val="white"/>
        </w:rPr>
      </w:pPr>
      <w:r w:rsidRPr="004650E8">
        <w:rPr>
          <w:rFonts w:eastAsia="Calibri"/>
          <w:highlight w:val="white"/>
        </w:rPr>
        <w:t>Não esteja respondendo a procedimento administrativo disciplinar relacionado à malversação de recursos do CAU/GO;</w:t>
      </w:r>
      <w:r w:rsidR="005F65E8" w:rsidRPr="004650E8">
        <w:rPr>
          <w:rFonts w:eastAsia="Calibri"/>
          <w:highlight w:val="white"/>
        </w:rPr>
        <w:t xml:space="preserve"> e</w:t>
      </w:r>
    </w:p>
    <w:p w14:paraId="4D3CD88F" w14:textId="77777777" w:rsidR="004C1E59" w:rsidRPr="004650E8" w:rsidRDefault="00384671" w:rsidP="004650E8">
      <w:pPr>
        <w:pStyle w:val="PargrafodaLista"/>
        <w:numPr>
          <w:ilvl w:val="0"/>
          <w:numId w:val="3"/>
        </w:numPr>
        <w:spacing w:line="360" w:lineRule="auto"/>
        <w:ind w:left="851" w:hanging="142"/>
        <w:contextualSpacing w:val="0"/>
        <w:jc w:val="both"/>
        <w:rPr>
          <w:rFonts w:eastAsia="Calibri"/>
          <w:highlight w:val="white"/>
        </w:rPr>
      </w:pPr>
      <w:r w:rsidRPr="004650E8">
        <w:rPr>
          <w:rFonts w:eastAsia="Calibri"/>
          <w:highlight w:val="white"/>
        </w:rPr>
        <w:t>Não estejam em período de gozo de férias, licenças ou qualquer outro motivo que impeça o regular exercício funcional</w:t>
      </w:r>
    </w:p>
    <w:p w14:paraId="324CBBE5"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 xml:space="preserve">Art. </w:t>
      </w:r>
      <w:r w:rsidR="00A971F8" w:rsidRPr="004650E8">
        <w:rPr>
          <w:rFonts w:eastAsia="Calibri"/>
          <w:b/>
          <w:highlight w:val="white"/>
        </w:rPr>
        <w:t>7</w:t>
      </w:r>
      <w:r w:rsidRPr="004650E8">
        <w:rPr>
          <w:rFonts w:eastAsia="Calibri"/>
          <w:b/>
          <w:highlight w:val="white"/>
        </w:rPr>
        <w:t>º.</w:t>
      </w:r>
      <w:r w:rsidRPr="004650E8">
        <w:rPr>
          <w:rFonts w:eastAsia="Calibri"/>
          <w:highlight w:val="white"/>
        </w:rPr>
        <w:t xml:space="preserve"> Verificada a habilitação do empregado ao recebimento do suprimento de fundos e desde que este seja autorizado pelo ordenador de despesa em ato próprio, ele se tornará suprido e lhe será concedido o limite correspondente por meio</w:t>
      </w:r>
      <w:r w:rsidR="00A971F8" w:rsidRPr="004650E8">
        <w:rPr>
          <w:rFonts w:eastAsia="Calibri"/>
          <w:highlight w:val="white"/>
        </w:rPr>
        <w:t xml:space="preserve"> de</w:t>
      </w:r>
      <w:r w:rsidRPr="004650E8">
        <w:rPr>
          <w:rFonts w:eastAsia="Calibri"/>
          <w:highlight w:val="white"/>
        </w:rPr>
        <w:t xml:space="preserve"> Cartão de Pagamento.</w:t>
      </w:r>
    </w:p>
    <w:p w14:paraId="44D100C8" w14:textId="77777777" w:rsidR="004C1E59" w:rsidRPr="004650E8" w:rsidRDefault="00384671" w:rsidP="004650E8">
      <w:pPr>
        <w:spacing w:line="360" w:lineRule="auto"/>
        <w:ind w:left="720"/>
        <w:jc w:val="both"/>
        <w:rPr>
          <w:rFonts w:eastAsia="Calibri"/>
          <w:highlight w:val="white"/>
        </w:rPr>
      </w:pPr>
      <w:r w:rsidRPr="004650E8">
        <w:rPr>
          <w:rFonts w:eastAsia="Calibri"/>
          <w:b/>
          <w:highlight w:val="white"/>
        </w:rPr>
        <w:t>Parágrafo único.</w:t>
      </w:r>
      <w:r w:rsidRPr="004650E8">
        <w:rPr>
          <w:rFonts w:eastAsia="Calibri"/>
          <w:highlight w:val="white"/>
        </w:rPr>
        <w:t xml:space="preserve"> O suprido se tornará o responsável pela guarda e boa aplicação do limite e dos recursos recebidos, bem como da sua prestação de contas. </w:t>
      </w:r>
    </w:p>
    <w:p w14:paraId="2117C22A"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 xml:space="preserve">Art. </w:t>
      </w:r>
      <w:r w:rsidR="00A971F8" w:rsidRPr="004650E8">
        <w:rPr>
          <w:rFonts w:eastAsia="Calibri"/>
          <w:b/>
          <w:highlight w:val="white"/>
        </w:rPr>
        <w:t>8</w:t>
      </w:r>
      <w:r w:rsidRPr="004650E8">
        <w:rPr>
          <w:rFonts w:eastAsia="Calibri"/>
          <w:b/>
          <w:highlight w:val="white"/>
        </w:rPr>
        <w:t>º.</w:t>
      </w:r>
      <w:r w:rsidRPr="004650E8">
        <w:rPr>
          <w:rFonts w:eastAsia="Calibri"/>
          <w:highlight w:val="white"/>
        </w:rPr>
        <w:t xml:space="preserve"> É pressuposto para a habilitação dos pedidos de suprimento de fundos a autorização expressa do ordenador de despesa, contendo:</w:t>
      </w:r>
    </w:p>
    <w:p w14:paraId="27808001" w14:textId="77777777" w:rsidR="004C1E59" w:rsidRPr="004650E8" w:rsidRDefault="00384671" w:rsidP="004650E8">
      <w:pPr>
        <w:pStyle w:val="PargrafodaLista"/>
        <w:numPr>
          <w:ilvl w:val="1"/>
          <w:numId w:val="4"/>
        </w:numPr>
        <w:spacing w:line="360" w:lineRule="auto"/>
        <w:ind w:left="851" w:hanging="284"/>
        <w:contextualSpacing w:val="0"/>
        <w:jc w:val="both"/>
        <w:rPr>
          <w:rFonts w:eastAsia="Calibri"/>
          <w:highlight w:val="white"/>
        </w:rPr>
      </w:pPr>
      <w:r w:rsidRPr="004650E8">
        <w:rPr>
          <w:rFonts w:eastAsia="Calibri"/>
          <w:highlight w:val="white"/>
        </w:rPr>
        <w:t>Valor do suprimento de fundos, em algarismo e por extenso</w:t>
      </w:r>
      <w:r w:rsidR="00816368" w:rsidRPr="004650E8">
        <w:rPr>
          <w:rFonts w:eastAsia="Calibri"/>
          <w:highlight w:val="white"/>
        </w:rPr>
        <w:t>, respeitando o limite máximo disposto no art</w:t>
      </w:r>
      <w:r w:rsidR="00637BF3" w:rsidRPr="004650E8">
        <w:rPr>
          <w:rFonts w:eastAsia="Calibri"/>
          <w:highlight w:val="white"/>
        </w:rPr>
        <w:t>igo</w:t>
      </w:r>
      <w:r w:rsidR="00816368" w:rsidRPr="004650E8">
        <w:rPr>
          <w:rFonts w:eastAsia="Calibri"/>
          <w:highlight w:val="white"/>
        </w:rPr>
        <w:t xml:space="preserve"> 1</w:t>
      </w:r>
      <w:r w:rsidR="00637BF3" w:rsidRPr="004650E8">
        <w:rPr>
          <w:rFonts w:eastAsia="Calibri"/>
          <w:highlight w:val="white"/>
        </w:rPr>
        <w:t>2</w:t>
      </w:r>
      <w:r w:rsidR="00816368" w:rsidRPr="004650E8">
        <w:rPr>
          <w:rFonts w:eastAsia="Calibri"/>
          <w:highlight w:val="white"/>
        </w:rPr>
        <w:t xml:space="preserve"> desta Portaria Normativa</w:t>
      </w:r>
      <w:r w:rsidRPr="004650E8">
        <w:rPr>
          <w:rFonts w:eastAsia="Calibri"/>
          <w:highlight w:val="white"/>
        </w:rPr>
        <w:t>;</w:t>
      </w:r>
    </w:p>
    <w:p w14:paraId="07BB696E" w14:textId="77777777" w:rsidR="004C1E59" w:rsidRPr="004650E8" w:rsidRDefault="00A971F8" w:rsidP="004650E8">
      <w:pPr>
        <w:pStyle w:val="PargrafodaLista"/>
        <w:numPr>
          <w:ilvl w:val="1"/>
          <w:numId w:val="4"/>
        </w:numPr>
        <w:spacing w:line="360" w:lineRule="auto"/>
        <w:ind w:left="851" w:hanging="284"/>
        <w:contextualSpacing w:val="0"/>
        <w:jc w:val="both"/>
        <w:rPr>
          <w:rFonts w:eastAsia="Calibri"/>
          <w:highlight w:val="white"/>
        </w:rPr>
      </w:pPr>
      <w:r w:rsidRPr="004650E8">
        <w:rPr>
          <w:rFonts w:eastAsia="Calibri"/>
          <w:highlight w:val="white"/>
        </w:rPr>
        <w:lastRenderedPageBreak/>
        <w:t>Nome e emprego ou função a quem deve ser feita a concessão;</w:t>
      </w:r>
    </w:p>
    <w:p w14:paraId="3BC843E1" w14:textId="77777777" w:rsidR="004C1E59" w:rsidRPr="004650E8" w:rsidRDefault="00384671" w:rsidP="004650E8">
      <w:pPr>
        <w:pStyle w:val="PargrafodaLista"/>
        <w:numPr>
          <w:ilvl w:val="1"/>
          <w:numId w:val="4"/>
        </w:numPr>
        <w:spacing w:line="360" w:lineRule="auto"/>
        <w:ind w:left="851" w:hanging="284"/>
        <w:contextualSpacing w:val="0"/>
        <w:jc w:val="both"/>
        <w:rPr>
          <w:rFonts w:eastAsia="Calibri"/>
          <w:highlight w:val="white"/>
        </w:rPr>
      </w:pPr>
      <w:r w:rsidRPr="004650E8">
        <w:rPr>
          <w:rFonts w:eastAsia="Calibri"/>
          <w:highlight w:val="white"/>
        </w:rPr>
        <w:t>A dotação orçamentária pela qual deve correr as despesas e o respectivo exercício financeiro;</w:t>
      </w:r>
    </w:p>
    <w:p w14:paraId="0CE0DAF2" w14:textId="77777777" w:rsidR="004C1E59" w:rsidRPr="004650E8" w:rsidRDefault="00384671" w:rsidP="004650E8">
      <w:pPr>
        <w:pStyle w:val="PargrafodaLista"/>
        <w:numPr>
          <w:ilvl w:val="1"/>
          <w:numId w:val="4"/>
        </w:numPr>
        <w:spacing w:line="360" w:lineRule="auto"/>
        <w:ind w:left="851" w:hanging="284"/>
        <w:contextualSpacing w:val="0"/>
        <w:jc w:val="both"/>
        <w:rPr>
          <w:rFonts w:eastAsia="Calibri"/>
          <w:highlight w:val="white"/>
        </w:rPr>
      </w:pPr>
      <w:r w:rsidRPr="004650E8">
        <w:rPr>
          <w:rFonts w:eastAsia="Calibri"/>
          <w:highlight w:val="white"/>
        </w:rPr>
        <w:t>O período de sua aplicação;</w:t>
      </w:r>
    </w:p>
    <w:p w14:paraId="293C1EFA" w14:textId="77777777" w:rsidR="004C1E59" w:rsidRPr="004650E8" w:rsidRDefault="00384671" w:rsidP="004650E8">
      <w:pPr>
        <w:pStyle w:val="PargrafodaLista"/>
        <w:numPr>
          <w:ilvl w:val="1"/>
          <w:numId w:val="4"/>
        </w:numPr>
        <w:spacing w:line="360" w:lineRule="auto"/>
        <w:ind w:left="851" w:hanging="284"/>
        <w:contextualSpacing w:val="0"/>
        <w:jc w:val="both"/>
        <w:rPr>
          <w:rFonts w:eastAsia="Calibri"/>
          <w:highlight w:val="white"/>
        </w:rPr>
      </w:pPr>
      <w:r w:rsidRPr="004650E8">
        <w:rPr>
          <w:rFonts w:eastAsia="Calibri"/>
          <w:highlight w:val="white"/>
        </w:rPr>
        <w:t>A(s) natureza(s) da despesa a que se destina a concessão; e</w:t>
      </w:r>
    </w:p>
    <w:p w14:paraId="027D24FB" w14:textId="2D649D66" w:rsidR="004C1E59" w:rsidRPr="004650E8" w:rsidRDefault="00384671" w:rsidP="004650E8">
      <w:pPr>
        <w:pStyle w:val="PargrafodaLista"/>
        <w:numPr>
          <w:ilvl w:val="1"/>
          <w:numId w:val="4"/>
        </w:numPr>
        <w:spacing w:line="360" w:lineRule="auto"/>
        <w:ind w:left="851" w:hanging="284"/>
        <w:contextualSpacing w:val="0"/>
        <w:jc w:val="both"/>
        <w:rPr>
          <w:rFonts w:eastAsia="Calibri"/>
          <w:highlight w:val="white"/>
        </w:rPr>
      </w:pPr>
      <w:r w:rsidRPr="004650E8">
        <w:rPr>
          <w:rFonts w:eastAsia="Calibri"/>
          <w:highlight w:val="white"/>
        </w:rPr>
        <w:t xml:space="preserve">Prazo máximo de até </w:t>
      </w:r>
      <w:r w:rsidR="00570358" w:rsidRPr="004650E8">
        <w:rPr>
          <w:rFonts w:eastAsia="Calibri"/>
          <w:highlight w:val="white"/>
        </w:rPr>
        <w:t>5</w:t>
      </w:r>
      <w:r w:rsidRPr="004650E8">
        <w:rPr>
          <w:rFonts w:eastAsia="Calibri"/>
          <w:highlight w:val="white"/>
        </w:rPr>
        <w:t xml:space="preserve"> (</w:t>
      </w:r>
      <w:r w:rsidR="00570358" w:rsidRPr="004650E8">
        <w:rPr>
          <w:rFonts w:eastAsia="Calibri"/>
          <w:highlight w:val="white"/>
        </w:rPr>
        <w:t>cinco</w:t>
      </w:r>
      <w:r w:rsidRPr="004650E8">
        <w:rPr>
          <w:rFonts w:eastAsia="Calibri"/>
          <w:highlight w:val="white"/>
        </w:rPr>
        <w:t xml:space="preserve">) dias </w:t>
      </w:r>
      <w:r w:rsidR="00C0713E" w:rsidRPr="004650E8">
        <w:rPr>
          <w:rFonts w:eastAsia="Calibri"/>
          <w:highlight w:val="white"/>
        </w:rPr>
        <w:t xml:space="preserve">úteis </w:t>
      </w:r>
      <w:r w:rsidRPr="004650E8">
        <w:rPr>
          <w:rFonts w:eastAsia="Calibri"/>
          <w:highlight w:val="white"/>
        </w:rPr>
        <w:t>após o término da utilização do suprimento de fundos para prestação de contas.</w:t>
      </w:r>
    </w:p>
    <w:p w14:paraId="16006197"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 xml:space="preserve">Art. </w:t>
      </w:r>
      <w:r w:rsidR="005F65E8" w:rsidRPr="004650E8">
        <w:rPr>
          <w:rFonts w:eastAsia="Calibri"/>
          <w:b/>
          <w:highlight w:val="white"/>
        </w:rPr>
        <w:t>9</w:t>
      </w:r>
      <w:r w:rsidRPr="004650E8">
        <w:rPr>
          <w:rFonts w:eastAsia="Calibri"/>
          <w:b/>
          <w:highlight w:val="white"/>
        </w:rPr>
        <w:t>º.</w:t>
      </w:r>
      <w:r w:rsidRPr="004650E8">
        <w:rPr>
          <w:rFonts w:eastAsia="Calibri"/>
          <w:highlight w:val="white"/>
        </w:rPr>
        <w:t xml:space="preserve"> Os créditos no cartão somente serão disponibilizados após a emissão da nota de empenho na dotação apropriada.</w:t>
      </w:r>
    </w:p>
    <w:p w14:paraId="27AC9E5F" w14:textId="77777777" w:rsidR="004C1E59" w:rsidRPr="004650E8" w:rsidRDefault="00384671" w:rsidP="004650E8">
      <w:pPr>
        <w:spacing w:line="360" w:lineRule="auto"/>
        <w:ind w:left="720"/>
        <w:jc w:val="both"/>
        <w:rPr>
          <w:rFonts w:eastAsia="Calibri"/>
          <w:highlight w:val="white"/>
        </w:rPr>
      </w:pPr>
      <w:r w:rsidRPr="004650E8">
        <w:rPr>
          <w:rFonts w:eastAsia="Calibri"/>
          <w:b/>
          <w:highlight w:val="white"/>
        </w:rPr>
        <w:t>Parágrafo único.</w:t>
      </w:r>
      <w:r w:rsidRPr="004650E8">
        <w:rPr>
          <w:rFonts w:eastAsia="Calibri"/>
          <w:highlight w:val="white"/>
        </w:rPr>
        <w:t xml:space="preserve"> O CAU/GO poderá optar por emitir empenho estimativo para o exercício financeiro.</w:t>
      </w:r>
    </w:p>
    <w:p w14:paraId="24447C0E" w14:textId="77777777" w:rsidR="00637BF3" w:rsidRPr="004650E8" w:rsidRDefault="00637BF3" w:rsidP="004650E8">
      <w:pPr>
        <w:spacing w:line="360" w:lineRule="auto"/>
        <w:jc w:val="both"/>
        <w:rPr>
          <w:rFonts w:eastAsia="Calibri"/>
          <w:highlight w:val="white"/>
        </w:rPr>
      </w:pPr>
      <w:r w:rsidRPr="004650E8">
        <w:rPr>
          <w:rFonts w:eastAsia="Calibri"/>
          <w:b/>
          <w:highlight w:val="white"/>
        </w:rPr>
        <w:t xml:space="preserve">Art. 10. </w:t>
      </w:r>
      <w:r w:rsidRPr="004650E8">
        <w:rPr>
          <w:rFonts w:eastAsia="Calibri"/>
          <w:highlight w:val="white"/>
        </w:rPr>
        <w:t>Não se concederá novo suprimento de fundos:</w:t>
      </w:r>
    </w:p>
    <w:p w14:paraId="7257DAE2" w14:textId="77777777" w:rsidR="00637BF3" w:rsidRPr="004650E8" w:rsidRDefault="00637BF3" w:rsidP="004650E8">
      <w:pPr>
        <w:pStyle w:val="PargrafodaLista"/>
        <w:numPr>
          <w:ilvl w:val="0"/>
          <w:numId w:val="7"/>
        </w:numPr>
        <w:spacing w:line="360" w:lineRule="auto"/>
        <w:ind w:left="851" w:hanging="216"/>
        <w:contextualSpacing w:val="0"/>
        <w:jc w:val="both"/>
        <w:rPr>
          <w:rFonts w:eastAsia="Calibri"/>
          <w:highlight w:val="white"/>
        </w:rPr>
      </w:pPr>
      <w:r w:rsidRPr="004650E8">
        <w:rPr>
          <w:rFonts w:eastAsia="Calibri"/>
          <w:highlight w:val="white"/>
        </w:rPr>
        <w:t>A quem tenha pendência/ impugnação/ rejeição no anterior;</w:t>
      </w:r>
    </w:p>
    <w:p w14:paraId="2F74F9FA" w14:textId="77777777" w:rsidR="00637BF3" w:rsidRPr="004650E8" w:rsidRDefault="00637BF3" w:rsidP="004650E8">
      <w:pPr>
        <w:pStyle w:val="PargrafodaLista"/>
        <w:numPr>
          <w:ilvl w:val="0"/>
          <w:numId w:val="7"/>
        </w:numPr>
        <w:spacing w:line="360" w:lineRule="auto"/>
        <w:ind w:left="851" w:hanging="216"/>
        <w:contextualSpacing w:val="0"/>
        <w:jc w:val="both"/>
        <w:rPr>
          <w:rFonts w:eastAsia="Calibri"/>
          <w:highlight w:val="white"/>
        </w:rPr>
      </w:pPr>
      <w:r w:rsidRPr="004650E8">
        <w:rPr>
          <w:rFonts w:eastAsia="Calibri"/>
          <w:highlight w:val="white"/>
        </w:rPr>
        <w:t>A quem já seja responsável por outro suprimento de fundos;</w:t>
      </w:r>
    </w:p>
    <w:p w14:paraId="35A6B89F" w14:textId="77777777" w:rsidR="00637BF3" w:rsidRPr="004650E8" w:rsidRDefault="00637BF3" w:rsidP="004650E8">
      <w:pPr>
        <w:pStyle w:val="PargrafodaLista"/>
        <w:numPr>
          <w:ilvl w:val="0"/>
          <w:numId w:val="7"/>
        </w:numPr>
        <w:spacing w:line="360" w:lineRule="auto"/>
        <w:ind w:left="851" w:hanging="216"/>
        <w:contextualSpacing w:val="0"/>
        <w:jc w:val="both"/>
        <w:rPr>
          <w:rFonts w:eastAsia="Calibri"/>
          <w:highlight w:val="white"/>
        </w:rPr>
      </w:pPr>
      <w:r w:rsidRPr="004650E8">
        <w:rPr>
          <w:rFonts w:eastAsia="Calibri"/>
          <w:highlight w:val="white"/>
        </w:rPr>
        <w:t xml:space="preserve">A quem deixar de atender a notificação para regularizar prestação de contas pendentes; </w:t>
      </w:r>
    </w:p>
    <w:p w14:paraId="58058C91" w14:textId="77777777" w:rsidR="00637BF3" w:rsidRPr="004650E8" w:rsidRDefault="00637BF3" w:rsidP="004650E8">
      <w:pPr>
        <w:pStyle w:val="PargrafodaLista"/>
        <w:numPr>
          <w:ilvl w:val="0"/>
          <w:numId w:val="7"/>
        </w:numPr>
        <w:spacing w:line="360" w:lineRule="auto"/>
        <w:ind w:left="851" w:hanging="216"/>
        <w:contextualSpacing w:val="0"/>
        <w:jc w:val="both"/>
        <w:rPr>
          <w:rFonts w:eastAsia="Calibri"/>
          <w:highlight w:val="white"/>
        </w:rPr>
      </w:pPr>
      <w:r w:rsidRPr="004650E8">
        <w:rPr>
          <w:rFonts w:eastAsia="Calibri"/>
          <w:highlight w:val="white"/>
        </w:rPr>
        <w:t>A quem estiver em gozo de férias, licenças, dentre outros, observando-se a necessidade de prestação de contas relacionada ao período anterior à cessação das atividades.</w:t>
      </w:r>
    </w:p>
    <w:p w14:paraId="67EE8A96" w14:textId="77777777" w:rsidR="004C1E59" w:rsidRPr="004650E8" w:rsidRDefault="004C1E59" w:rsidP="004650E8">
      <w:pPr>
        <w:spacing w:line="360" w:lineRule="auto"/>
        <w:jc w:val="both"/>
        <w:rPr>
          <w:rFonts w:eastAsia="Calibri"/>
          <w:highlight w:val="white"/>
        </w:rPr>
      </w:pPr>
    </w:p>
    <w:p w14:paraId="0B00663E" w14:textId="77777777" w:rsidR="00202971" w:rsidRPr="004650E8" w:rsidRDefault="00202971" w:rsidP="004650E8">
      <w:pPr>
        <w:spacing w:line="360" w:lineRule="auto"/>
        <w:jc w:val="both"/>
        <w:rPr>
          <w:rFonts w:eastAsia="Calibri"/>
          <w:highlight w:val="white"/>
        </w:rPr>
      </w:pPr>
    </w:p>
    <w:p w14:paraId="45479C9F" w14:textId="77777777" w:rsidR="004C1E59" w:rsidRPr="004650E8" w:rsidRDefault="00384671" w:rsidP="004650E8">
      <w:pPr>
        <w:spacing w:line="360" w:lineRule="auto"/>
        <w:jc w:val="center"/>
        <w:rPr>
          <w:rFonts w:eastAsia="Calibri"/>
          <w:highlight w:val="white"/>
        </w:rPr>
      </w:pPr>
      <w:r w:rsidRPr="004650E8">
        <w:rPr>
          <w:rFonts w:eastAsia="Calibri"/>
          <w:b/>
          <w:highlight w:val="white"/>
        </w:rPr>
        <w:t>CAPÍTULO III</w:t>
      </w:r>
    </w:p>
    <w:p w14:paraId="67504A77" w14:textId="77777777" w:rsidR="004C1E59" w:rsidRPr="004650E8" w:rsidRDefault="00384671" w:rsidP="004650E8">
      <w:pPr>
        <w:spacing w:line="360" w:lineRule="auto"/>
        <w:jc w:val="center"/>
        <w:rPr>
          <w:rFonts w:eastAsia="Calibri"/>
          <w:b/>
          <w:highlight w:val="white"/>
        </w:rPr>
      </w:pPr>
      <w:r w:rsidRPr="004650E8">
        <w:rPr>
          <w:rFonts w:eastAsia="Calibri"/>
          <w:b/>
          <w:highlight w:val="white"/>
        </w:rPr>
        <w:t>DOS VALORES E LIMITES</w:t>
      </w:r>
    </w:p>
    <w:p w14:paraId="79590879" w14:textId="77777777" w:rsidR="004650E8" w:rsidRPr="004650E8" w:rsidRDefault="004650E8" w:rsidP="004650E8">
      <w:pPr>
        <w:spacing w:line="360" w:lineRule="auto"/>
        <w:jc w:val="center"/>
        <w:rPr>
          <w:rFonts w:eastAsia="Calibri"/>
          <w:highlight w:val="white"/>
        </w:rPr>
      </w:pPr>
    </w:p>
    <w:p w14:paraId="0E4594BF"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Art. 1</w:t>
      </w:r>
      <w:r w:rsidR="00637BF3" w:rsidRPr="004650E8">
        <w:rPr>
          <w:rFonts w:eastAsia="Calibri"/>
          <w:b/>
          <w:highlight w:val="white"/>
        </w:rPr>
        <w:t>1</w:t>
      </w:r>
      <w:r w:rsidRPr="004650E8">
        <w:rPr>
          <w:rFonts w:eastAsia="Calibri"/>
          <w:b/>
          <w:highlight w:val="white"/>
        </w:rPr>
        <w:t xml:space="preserve">. </w:t>
      </w:r>
      <w:r w:rsidRPr="004650E8">
        <w:rPr>
          <w:rFonts w:eastAsia="Calibri"/>
          <w:highlight w:val="white"/>
        </w:rPr>
        <w:t>A concessão somente ocorrerá para a realização de despesas de caráter excepcional, conforme disciplina o art. 45 do Decreto</w:t>
      </w:r>
      <w:r w:rsidRPr="004650E8">
        <w:rPr>
          <w:rFonts w:eastAsia="Calibri"/>
          <w:b/>
          <w:highlight w:val="white"/>
        </w:rPr>
        <w:t xml:space="preserve"> </w:t>
      </w:r>
      <w:r w:rsidRPr="004650E8">
        <w:rPr>
          <w:rFonts w:eastAsia="Calibri"/>
          <w:highlight w:val="white"/>
        </w:rPr>
        <w:t>nº 93.872, de 23 de dezembro de 1986.</w:t>
      </w:r>
    </w:p>
    <w:p w14:paraId="1E680AE0" w14:textId="2CDA6D8A" w:rsidR="004C1E59" w:rsidRPr="004650E8" w:rsidRDefault="00384671" w:rsidP="004650E8">
      <w:pPr>
        <w:spacing w:line="360" w:lineRule="auto"/>
        <w:jc w:val="both"/>
        <w:rPr>
          <w:rFonts w:eastAsia="Calibri"/>
          <w:highlight w:val="white"/>
        </w:rPr>
      </w:pPr>
      <w:r w:rsidRPr="004650E8">
        <w:rPr>
          <w:rFonts w:eastAsia="Calibri"/>
          <w:b/>
          <w:highlight w:val="white"/>
        </w:rPr>
        <w:t>Art. 1</w:t>
      </w:r>
      <w:r w:rsidR="00637BF3" w:rsidRPr="004650E8">
        <w:rPr>
          <w:rFonts w:eastAsia="Calibri"/>
          <w:b/>
          <w:highlight w:val="white"/>
        </w:rPr>
        <w:t>2</w:t>
      </w:r>
      <w:r w:rsidRPr="004650E8">
        <w:rPr>
          <w:rFonts w:eastAsia="Calibri"/>
          <w:b/>
          <w:highlight w:val="white"/>
        </w:rPr>
        <w:t>.</w:t>
      </w:r>
      <w:r w:rsidRPr="004650E8">
        <w:rPr>
          <w:rFonts w:eastAsia="Calibri"/>
          <w:highlight w:val="white"/>
        </w:rPr>
        <w:t xml:space="preserve"> O limite mensal para a concessão de fundos </w:t>
      </w:r>
      <w:r w:rsidR="00D970C3" w:rsidRPr="004650E8">
        <w:rPr>
          <w:rFonts w:eastAsia="Calibri"/>
          <w:highlight w:val="white"/>
        </w:rPr>
        <w:t xml:space="preserve">segue o disposto no §2º do art. 95 da Lei nº 14133, de 1º de abril de 2021, </w:t>
      </w:r>
      <w:r w:rsidR="00D970C3" w:rsidRPr="004650E8">
        <w:rPr>
          <w:rFonts w:eastAsia="Calibri"/>
        </w:rPr>
        <w:t xml:space="preserve">que atualmente é de </w:t>
      </w:r>
      <w:r w:rsidRPr="004650E8">
        <w:rPr>
          <w:rFonts w:eastAsia="Calibri"/>
        </w:rPr>
        <w:t xml:space="preserve">R$ </w:t>
      </w:r>
      <w:r w:rsidR="00D970C3" w:rsidRPr="004650E8">
        <w:rPr>
          <w:rFonts w:eastAsia="Calibri"/>
        </w:rPr>
        <w:t>11.981,20 (onze mil, novecentos e oitenta e um reais e vinte centavos)</w:t>
      </w:r>
      <w:r w:rsidRPr="004650E8">
        <w:rPr>
          <w:rFonts w:eastAsia="Calibri"/>
          <w:highlight w:val="white"/>
        </w:rPr>
        <w:t>.</w:t>
      </w:r>
    </w:p>
    <w:p w14:paraId="187602A7" w14:textId="77777777" w:rsidR="004C1E59" w:rsidRPr="004650E8" w:rsidRDefault="00816368" w:rsidP="004650E8">
      <w:pPr>
        <w:spacing w:line="360" w:lineRule="auto"/>
        <w:ind w:left="720"/>
        <w:jc w:val="both"/>
        <w:rPr>
          <w:rFonts w:eastAsia="Calibri"/>
          <w:highlight w:val="white"/>
        </w:rPr>
      </w:pPr>
      <w:r w:rsidRPr="004650E8">
        <w:rPr>
          <w:rFonts w:eastAsia="Calibri"/>
          <w:b/>
          <w:bCs/>
          <w:highlight w:val="white"/>
        </w:rPr>
        <w:t>§1º</w:t>
      </w:r>
      <w:r w:rsidRPr="004650E8">
        <w:rPr>
          <w:rFonts w:eastAsia="Calibri"/>
          <w:b/>
          <w:highlight w:val="white"/>
        </w:rPr>
        <w:t>.</w:t>
      </w:r>
      <w:r w:rsidRPr="004650E8">
        <w:rPr>
          <w:rFonts w:eastAsia="Calibri"/>
          <w:highlight w:val="white"/>
        </w:rPr>
        <w:t xml:space="preserve"> O valor que se refere o caput é o somatório das despesas mensais que podem ser realizadas por cada agente suprido.</w:t>
      </w:r>
    </w:p>
    <w:p w14:paraId="02507AE4" w14:textId="77777777" w:rsidR="00816368" w:rsidRPr="004650E8" w:rsidRDefault="00816368" w:rsidP="004650E8">
      <w:pPr>
        <w:spacing w:line="360" w:lineRule="auto"/>
        <w:ind w:left="720"/>
        <w:jc w:val="both"/>
        <w:rPr>
          <w:rFonts w:eastAsia="Calibri"/>
          <w:highlight w:val="white"/>
        </w:rPr>
      </w:pPr>
      <w:r w:rsidRPr="004650E8">
        <w:rPr>
          <w:rFonts w:eastAsia="Calibri"/>
          <w:b/>
          <w:bCs/>
          <w:highlight w:val="white"/>
        </w:rPr>
        <w:t>§2º</w:t>
      </w:r>
      <w:r w:rsidRPr="004650E8">
        <w:rPr>
          <w:rFonts w:eastAsia="Calibri"/>
          <w:b/>
          <w:highlight w:val="white"/>
        </w:rPr>
        <w:t>.</w:t>
      </w:r>
      <w:r w:rsidRPr="004650E8">
        <w:rPr>
          <w:rFonts w:eastAsia="Calibri"/>
          <w:highlight w:val="white"/>
        </w:rPr>
        <w:t xml:space="preserve"> O autorizador de despesa </w:t>
      </w:r>
      <w:r w:rsidR="009A1A65" w:rsidRPr="004650E8">
        <w:rPr>
          <w:rFonts w:eastAsia="Calibri"/>
          <w:highlight w:val="white"/>
        </w:rPr>
        <w:t xml:space="preserve">do CAU/GO </w:t>
      </w:r>
      <w:r w:rsidRPr="004650E8">
        <w:rPr>
          <w:rFonts w:eastAsia="Calibri"/>
          <w:highlight w:val="white"/>
        </w:rPr>
        <w:t xml:space="preserve">poderá autorizar ao </w:t>
      </w:r>
      <w:r w:rsidR="004313F3" w:rsidRPr="004650E8">
        <w:rPr>
          <w:rFonts w:eastAsia="Calibri"/>
          <w:highlight w:val="white"/>
        </w:rPr>
        <w:t>agente s</w:t>
      </w:r>
      <w:r w:rsidRPr="004650E8">
        <w:rPr>
          <w:rFonts w:eastAsia="Calibri"/>
          <w:highlight w:val="white"/>
        </w:rPr>
        <w:t>uprido valor menor que o limite estipulado no caput, a depender do plano de ação e orçamento do exercício.</w:t>
      </w:r>
    </w:p>
    <w:p w14:paraId="321B4916" w14:textId="01642BEB" w:rsidR="00E84BC3" w:rsidRPr="004650E8" w:rsidRDefault="00384671" w:rsidP="004650E8">
      <w:pPr>
        <w:spacing w:line="360" w:lineRule="auto"/>
        <w:jc w:val="both"/>
      </w:pPr>
      <w:r w:rsidRPr="004650E8">
        <w:rPr>
          <w:rFonts w:eastAsia="Calibri"/>
          <w:b/>
        </w:rPr>
        <w:t>Art. 1</w:t>
      </w:r>
      <w:r w:rsidR="00637BF3" w:rsidRPr="004650E8">
        <w:rPr>
          <w:rFonts w:eastAsia="Calibri"/>
          <w:b/>
        </w:rPr>
        <w:t>3</w:t>
      </w:r>
      <w:r w:rsidRPr="004650E8">
        <w:rPr>
          <w:rFonts w:eastAsia="Calibri"/>
          <w:b/>
        </w:rPr>
        <w:t xml:space="preserve">. </w:t>
      </w:r>
      <w:r w:rsidRPr="004650E8">
        <w:rPr>
          <w:rFonts w:eastAsia="Calibri"/>
          <w:bCs/>
        </w:rPr>
        <w:t>O limite máximo para cada despesa de pequeno vulto é de R$ 1.</w:t>
      </w:r>
      <w:r w:rsidR="003F1AEB" w:rsidRPr="004650E8">
        <w:rPr>
          <w:rFonts w:eastAsia="Calibri"/>
          <w:bCs/>
        </w:rPr>
        <w:t>200,00</w:t>
      </w:r>
      <w:r w:rsidRPr="004650E8">
        <w:rPr>
          <w:rFonts w:eastAsia="Calibri"/>
          <w:bCs/>
        </w:rPr>
        <w:t xml:space="preserve"> (</w:t>
      </w:r>
      <w:r w:rsidR="003F1AEB" w:rsidRPr="004650E8">
        <w:rPr>
          <w:rFonts w:eastAsia="Calibri"/>
          <w:bCs/>
        </w:rPr>
        <w:t xml:space="preserve">um </w:t>
      </w:r>
      <w:r w:rsidRPr="004650E8">
        <w:rPr>
          <w:rFonts w:eastAsia="Calibri"/>
          <w:bCs/>
        </w:rPr>
        <w:t xml:space="preserve">mil </w:t>
      </w:r>
      <w:r w:rsidR="003F1AEB" w:rsidRPr="004650E8">
        <w:rPr>
          <w:rFonts w:eastAsia="Calibri"/>
          <w:bCs/>
        </w:rPr>
        <w:t xml:space="preserve">e duzentos </w:t>
      </w:r>
      <w:r w:rsidRPr="004650E8">
        <w:rPr>
          <w:rFonts w:eastAsia="Calibri"/>
          <w:bCs/>
        </w:rPr>
        <w:t>reais)</w:t>
      </w:r>
      <w:r w:rsidR="00115C42" w:rsidRPr="004650E8">
        <w:rPr>
          <w:rFonts w:eastAsia="Calibri"/>
          <w:bCs/>
        </w:rPr>
        <w:t xml:space="preserve">, o que corresponde </w:t>
      </w:r>
      <w:r w:rsidR="005D6A70" w:rsidRPr="004650E8">
        <w:t xml:space="preserve">aproximadamente </w:t>
      </w:r>
      <w:r w:rsidR="00840100" w:rsidRPr="004650E8">
        <w:t xml:space="preserve">a </w:t>
      </w:r>
      <w:r w:rsidR="005D6A70" w:rsidRPr="004650E8">
        <w:t>10% (dez por cento) do valor estabelecido no art</w:t>
      </w:r>
      <w:r w:rsidR="00115C42" w:rsidRPr="004650E8">
        <w:t>igo</w:t>
      </w:r>
      <w:r w:rsidR="005D6A70" w:rsidRPr="004650E8">
        <w:t xml:space="preserve"> 1</w:t>
      </w:r>
      <w:r w:rsidR="00637BF3" w:rsidRPr="004650E8">
        <w:t>2</w:t>
      </w:r>
      <w:r w:rsidR="00115C42" w:rsidRPr="004650E8">
        <w:t>.</w:t>
      </w:r>
    </w:p>
    <w:p w14:paraId="5BCFB193" w14:textId="0133CC33" w:rsidR="00E84BC3" w:rsidRPr="004650E8" w:rsidRDefault="00F6310E" w:rsidP="004650E8">
      <w:pPr>
        <w:spacing w:line="360" w:lineRule="auto"/>
        <w:jc w:val="both"/>
        <w:rPr>
          <w:rFonts w:eastAsia="Calibri"/>
        </w:rPr>
      </w:pPr>
      <w:r w:rsidRPr="004650E8">
        <w:rPr>
          <w:rFonts w:eastAsia="Calibri"/>
          <w:b/>
          <w:bCs/>
          <w:highlight w:val="white"/>
        </w:rPr>
        <w:t>Art. 1</w:t>
      </w:r>
      <w:r w:rsidR="00637BF3" w:rsidRPr="004650E8">
        <w:rPr>
          <w:rFonts w:eastAsia="Calibri"/>
          <w:b/>
          <w:bCs/>
          <w:highlight w:val="white"/>
        </w:rPr>
        <w:t>4</w:t>
      </w:r>
      <w:r w:rsidR="00E84BC3" w:rsidRPr="004650E8">
        <w:rPr>
          <w:rFonts w:eastAsia="Calibri"/>
          <w:b/>
          <w:highlight w:val="white"/>
        </w:rPr>
        <w:t>.</w:t>
      </w:r>
      <w:r w:rsidR="00E84BC3" w:rsidRPr="004650E8">
        <w:rPr>
          <w:rFonts w:eastAsia="Calibri"/>
          <w:highlight w:val="white"/>
        </w:rPr>
        <w:t xml:space="preserve"> </w:t>
      </w:r>
      <w:r w:rsidRPr="004650E8">
        <w:rPr>
          <w:rFonts w:eastAsia="Calibri"/>
          <w:highlight w:val="white"/>
        </w:rPr>
        <w:t>É vedado o fracionamento da despesa ou do documento comprobatório para adequação ao limite fixado</w:t>
      </w:r>
      <w:r w:rsidR="00E84BC3" w:rsidRPr="004650E8">
        <w:rPr>
          <w:rFonts w:eastAsia="Calibri"/>
          <w:highlight w:val="white"/>
        </w:rPr>
        <w:t xml:space="preserve"> no art</w:t>
      </w:r>
      <w:r w:rsidR="00637BF3" w:rsidRPr="004650E8">
        <w:rPr>
          <w:rFonts w:eastAsia="Calibri"/>
          <w:highlight w:val="white"/>
        </w:rPr>
        <w:t>igo</w:t>
      </w:r>
      <w:r w:rsidRPr="004650E8">
        <w:rPr>
          <w:rFonts w:eastAsia="Calibri"/>
          <w:highlight w:val="white"/>
        </w:rPr>
        <w:t xml:space="preserve"> 1</w:t>
      </w:r>
      <w:r w:rsidR="00637BF3" w:rsidRPr="004650E8">
        <w:rPr>
          <w:rFonts w:eastAsia="Calibri"/>
          <w:highlight w:val="white"/>
        </w:rPr>
        <w:t>3</w:t>
      </w:r>
      <w:r w:rsidRPr="004650E8">
        <w:rPr>
          <w:rFonts w:eastAsia="Calibri"/>
          <w:highlight w:val="white"/>
        </w:rPr>
        <w:t xml:space="preserve"> desta Portaria Normativa.</w:t>
      </w:r>
      <w:r w:rsidR="00E84BC3" w:rsidRPr="004650E8">
        <w:rPr>
          <w:rFonts w:eastAsia="Calibri"/>
        </w:rPr>
        <w:t xml:space="preserve"> </w:t>
      </w:r>
    </w:p>
    <w:p w14:paraId="49DC3369" w14:textId="77777777" w:rsidR="004C1E59" w:rsidRPr="004650E8" w:rsidRDefault="00384671" w:rsidP="004650E8">
      <w:pPr>
        <w:spacing w:line="360" w:lineRule="auto"/>
        <w:ind w:left="720"/>
        <w:jc w:val="both"/>
        <w:rPr>
          <w:rFonts w:eastAsia="Calibri"/>
          <w:highlight w:val="white"/>
        </w:rPr>
      </w:pPr>
      <w:r w:rsidRPr="004650E8">
        <w:rPr>
          <w:rFonts w:eastAsia="Calibri"/>
          <w:b/>
          <w:highlight w:val="white"/>
        </w:rPr>
        <w:t>§</w:t>
      </w:r>
      <w:r w:rsidR="00F6310E" w:rsidRPr="004650E8">
        <w:rPr>
          <w:rFonts w:eastAsia="Calibri"/>
          <w:b/>
          <w:highlight w:val="white"/>
        </w:rPr>
        <w:t>1</w:t>
      </w:r>
      <w:r w:rsidRPr="004650E8">
        <w:rPr>
          <w:rFonts w:eastAsia="Calibri"/>
          <w:b/>
          <w:highlight w:val="white"/>
        </w:rPr>
        <w:t>º</w:t>
      </w:r>
      <w:r w:rsidR="003F1AEB" w:rsidRPr="004650E8">
        <w:rPr>
          <w:rFonts w:eastAsia="Calibri"/>
          <w:b/>
          <w:highlight w:val="white"/>
        </w:rPr>
        <w:t>.</w:t>
      </w:r>
      <w:r w:rsidRPr="004650E8">
        <w:rPr>
          <w:rFonts w:eastAsia="Calibri"/>
          <w:highlight w:val="white"/>
        </w:rPr>
        <w:t xml:space="preserve"> Constitui fracionamento de despesa a utilização de suprimento de fundos para aquisição de bens ou serviços que se refiram ao mesmo item de despesa, mediante </w:t>
      </w:r>
      <w:r w:rsidRPr="004650E8">
        <w:rPr>
          <w:rFonts w:eastAsia="Calibri"/>
          <w:highlight w:val="white"/>
        </w:rPr>
        <w:lastRenderedPageBreak/>
        <w:t>diversas compras em um único exercício</w:t>
      </w:r>
      <w:r w:rsidR="001A6238" w:rsidRPr="004650E8">
        <w:rPr>
          <w:rFonts w:eastAsia="Calibri"/>
          <w:highlight w:val="white"/>
        </w:rPr>
        <w:t>, cujo valor total supere os limites dos incisos I e II do art.75 da Lei nº 14.133/2021</w:t>
      </w:r>
      <w:r w:rsidRPr="004650E8">
        <w:rPr>
          <w:rFonts w:eastAsia="Calibri"/>
          <w:highlight w:val="white"/>
        </w:rPr>
        <w:t>.</w:t>
      </w:r>
    </w:p>
    <w:p w14:paraId="1FAD2946" w14:textId="77777777" w:rsidR="004C1E59" w:rsidRPr="004650E8" w:rsidRDefault="00384671" w:rsidP="004650E8">
      <w:pPr>
        <w:spacing w:line="360" w:lineRule="auto"/>
        <w:ind w:left="720"/>
        <w:jc w:val="both"/>
        <w:rPr>
          <w:rFonts w:eastAsia="Calibri"/>
          <w:highlight w:val="white"/>
        </w:rPr>
      </w:pPr>
      <w:r w:rsidRPr="004650E8">
        <w:rPr>
          <w:rFonts w:eastAsia="Calibri"/>
          <w:b/>
          <w:highlight w:val="white"/>
        </w:rPr>
        <w:t>§</w:t>
      </w:r>
      <w:r w:rsidR="00F6310E" w:rsidRPr="004650E8">
        <w:rPr>
          <w:rFonts w:eastAsia="Calibri"/>
          <w:b/>
          <w:highlight w:val="white"/>
        </w:rPr>
        <w:t>2</w:t>
      </w:r>
      <w:r w:rsidRPr="004650E8">
        <w:rPr>
          <w:rFonts w:eastAsia="Calibri"/>
          <w:b/>
          <w:highlight w:val="white"/>
        </w:rPr>
        <w:t>º</w:t>
      </w:r>
      <w:r w:rsidR="003F1AEB" w:rsidRPr="004650E8">
        <w:rPr>
          <w:rFonts w:eastAsia="Calibri"/>
          <w:b/>
          <w:highlight w:val="white"/>
        </w:rPr>
        <w:t>.</w:t>
      </w:r>
      <w:r w:rsidRPr="004650E8">
        <w:rPr>
          <w:rFonts w:eastAsia="Calibri"/>
          <w:highlight w:val="white"/>
        </w:rPr>
        <w:t xml:space="preserve"> Para os fins desta Portaria</w:t>
      </w:r>
      <w:r w:rsidR="00E84BC3" w:rsidRPr="004650E8">
        <w:rPr>
          <w:rFonts w:eastAsia="Calibri"/>
          <w:highlight w:val="white"/>
        </w:rPr>
        <w:t xml:space="preserve"> Normativa</w:t>
      </w:r>
      <w:r w:rsidRPr="004650E8">
        <w:rPr>
          <w:rFonts w:eastAsia="Calibri"/>
          <w:highlight w:val="white"/>
        </w:rPr>
        <w:t>, considera-se item de despesa a individualização do objeto a ser contratado, assim entendido como aquele relativo a item de material ou de serviço, de natureza física e funcional distintas, ainda que constantes de uma mesma fatura ou documento equivalente.</w:t>
      </w:r>
    </w:p>
    <w:p w14:paraId="51152C02"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Art. 1</w:t>
      </w:r>
      <w:r w:rsidR="00A56A2F" w:rsidRPr="004650E8">
        <w:rPr>
          <w:rFonts w:eastAsia="Calibri"/>
          <w:b/>
          <w:highlight w:val="white"/>
        </w:rPr>
        <w:t>5</w:t>
      </w:r>
      <w:r w:rsidRPr="004650E8">
        <w:rPr>
          <w:rFonts w:eastAsia="Calibri"/>
          <w:b/>
          <w:highlight w:val="white"/>
        </w:rPr>
        <w:t>.</w:t>
      </w:r>
      <w:r w:rsidRPr="004650E8">
        <w:rPr>
          <w:rFonts w:eastAsia="Calibri"/>
          <w:highlight w:val="white"/>
        </w:rPr>
        <w:t xml:space="preserve"> Os gastos realizados por meio de suprimento de fundos para objetos de mesma natureza deverão ser somados aos casos de dispensa de licitação, para fins de verificação dos limites de despesa em contratações diretas regulamentadas pelo art. 75 da Lei nº 14.133</w:t>
      </w:r>
      <w:r w:rsidR="00D16BC0" w:rsidRPr="004650E8">
        <w:rPr>
          <w:rFonts w:eastAsia="Calibri"/>
          <w:highlight w:val="white"/>
        </w:rPr>
        <w:t>/</w:t>
      </w:r>
      <w:r w:rsidRPr="004650E8">
        <w:rPr>
          <w:rFonts w:eastAsia="Calibri"/>
          <w:highlight w:val="white"/>
        </w:rPr>
        <w:t>2021, sendo vedado o fracionamento de despesa.</w:t>
      </w:r>
    </w:p>
    <w:p w14:paraId="344630CE" w14:textId="6B3FC045" w:rsidR="004C1E59" w:rsidRPr="004650E8" w:rsidRDefault="00384671" w:rsidP="004650E8">
      <w:pPr>
        <w:spacing w:line="360" w:lineRule="auto"/>
        <w:jc w:val="both"/>
        <w:rPr>
          <w:rFonts w:eastAsia="Calibri"/>
          <w:highlight w:val="white"/>
        </w:rPr>
      </w:pPr>
      <w:r w:rsidRPr="004650E8">
        <w:rPr>
          <w:rFonts w:eastAsia="Calibri"/>
          <w:b/>
          <w:highlight w:val="white"/>
        </w:rPr>
        <w:t>Art. 1</w:t>
      </w:r>
      <w:r w:rsidR="00A56A2F" w:rsidRPr="004650E8">
        <w:rPr>
          <w:rFonts w:eastAsia="Calibri"/>
          <w:b/>
          <w:highlight w:val="white"/>
        </w:rPr>
        <w:t>6</w:t>
      </w:r>
      <w:r w:rsidRPr="004650E8">
        <w:rPr>
          <w:rFonts w:eastAsia="Calibri"/>
          <w:b/>
          <w:highlight w:val="white"/>
        </w:rPr>
        <w:t xml:space="preserve">. </w:t>
      </w:r>
      <w:r w:rsidRPr="004650E8">
        <w:rPr>
          <w:rFonts w:eastAsia="Calibri"/>
          <w:highlight w:val="white"/>
        </w:rPr>
        <w:t>O ato de concessão de suprimento de fundos poderá conter mais de uma despesa de pequeno vulto, obedecidos o limite estabelecido no art</w:t>
      </w:r>
      <w:r w:rsidR="0023027B" w:rsidRPr="004650E8">
        <w:rPr>
          <w:rFonts w:eastAsia="Calibri"/>
          <w:highlight w:val="white"/>
        </w:rPr>
        <w:t>igo</w:t>
      </w:r>
      <w:r w:rsidRPr="004650E8">
        <w:rPr>
          <w:rFonts w:eastAsia="Calibri"/>
          <w:highlight w:val="white"/>
        </w:rPr>
        <w:t xml:space="preserve"> 1</w:t>
      </w:r>
      <w:r w:rsidR="00637BF3" w:rsidRPr="004650E8">
        <w:rPr>
          <w:rFonts w:eastAsia="Calibri"/>
          <w:highlight w:val="white"/>
        </w:rPr>
        <w:t>3</w:t>
      </w:r>
      <w:r w:rsidR="0023027B" w:rsidRPr="004650E8">
        <w:rPr>
          <w:rFonts w:eastAsia="Calibri"/>
          <w:highlight w:val="white"/>
        </w:rPr>
        <w:t>.</w:t>
      </w:r>
    </w:p>
    <w:p w14:paraId="03CB0DC8" w14:textId="3DEC49DD" w:rsidR="004C1E59" w:rsidRPr="004650E8" w:rsidRDefault="00384671" w:rsidP="004650E8">
      <w:pPr>
        <w:spacing w:line="360" w:lineRule="auto"/>
        <w:jc w:val="both"/>
        <w:rPr>
          <w:rFonts w:eastAsia="Calibri"/>
          <w:highlight w:val="white"/>
        </w:rPr>
      </w:pPr>
      <w:r w:rsidRPr="004650E8">
        <w:rPr>
          <w:rFonts w:eastAsia="Calibri"/>
          <w:b/>
          <w:highlight w:val="white"/>
        </w:rPr>
        <w:t>Art. 1</w:t>
      </w:r>
      <w:r w:rsidR="00A56A2F" w:rsidRPr="004650E8">
        <w:rPr>
          <w:rFonts w:eastAsia="Calibri"/>
          <w:b/>
          <w:highlight w:val="white"/>
        </w:rPr>
        <w:t>7</w:t>
      </w:r>
      <w:r w:rsidRPr="004650E8">
        <w:rPr>
          <w:rFonts w:eastAsia="Calibri"/>
          <w:b/>
          <w:highlight w:val="white"/>
        </w:rPr>
        <w:t>.</w:t>
      </w:r>
      <w:r w:rsidRPr="004650E8">
        <w:rPr>
          <w:rFonts w:eastAsia="Calibri"/>
          <w:highlight w:val="white"/>
        </w:rPr>
        <w:t xml:space="preserve"> </w:t>
      </w:r>
      <w:r w:rsidR="005F42CA" w:rsidRPr="004650E8">
        <w:rPr>
          <w:rFonts w:eastAsia="Calibri"/>
          <w:highlight w:val="white"/>
        </w:rPr>
        <w:t>M</w:t>
      </w:r>
      <w:r w:rsidRPr="004650E8">
        <w:rPr>
          <w:rFonts w:eastAsia="Calibri"/>
          <w:highlight w:val="white"/>
        </w:rPr>
        <w:t>ediante expedição de ato próprio</w:t>
      </w:r>
      <w:r w:rsidR="005F42CA" w:rsidRPr="004650E8">
        <w:rPr>
          <w:rFonts w:eastAsia="Calibri"/>
          <w:highlight w:val="white"/>
        </w:rPr>
        <w:t xml:space="preserve"> do CAU/GO,</w:t>
      </w:r>
      <w:r w:rsidRPr="004650E8">
        <w:rPr>
          <w:rFonts w:eastAsia="Calibri"/>
          <w:highlight w:val="white"/>
        </w:rPr>
        <w:t xml:space="preserve"> o limite disposto no artigo </w:t>
      </w:r>
      <w:r w:rsidR="00840100" w:rsidRPr="004650E8">
        <w:rPr>
          <w:rFonts w:eastAsia="Calibri"/>
          <w:highlight w:val="white"/>
        </w:rPr>
        <w:t>13</w:t>
      </w:r>
      <w:r w:rsidR="005F42CA" w:rsidRPr="004650E8">
        <w:rPr>
          <w:rFonts w:eastAsia="Calibri"/>
          <w:highlight w:val="white"/>
        </w:rPr>
        <w:t xml:space="preserve"> poder</w:t>
      </w:r>
      <w:r w:rsidR="00840100" w:rsidRPr="004650E8">
        <w:rPr>
          <w:rFonts w:eastAsia="Calibri"/>
          <w:highlight w:val="white"/>
        </w:rPr>
        <w:t>á</w:t>
      </w:r>
      <w:r w:rsidR="005F42CA" w:rsidRPr="004650E8">
        <w:rPr>
          <w:rFonts w:eastAsia="Calibri"/>
          <w:highlight w:val="white"/>
        </w:rPr>
        <w:t xml:space="preserve"> ser revisto</w:t>
      </w:r>
      <w:r w:rsidRPr="004650E8">
        <w:rPr>
          <w:rFonts w:eastAsia="Calibri"/>
          <w:highlight w:val="white"/>
        </w:rPr>
        <w:t xml:space="preserve">, quando </w:t>
      </w:r>
      <w:r w:rsidR="005F42CA" w:rsidRPr="004650E8">
        <w:rPr>
          <w:rFonts w:eastAsia="Calibri"/>
          <w:highlight w:val="white"/>
        </w:rPr>
        <w:t>houver</w:t>
      </w:r>
      <w:r w:rsidRPr="004650E8">
        <w:rPr>
          <w:rFonts w:eastAsia="Calibri"/>
          <w:highlight w:val="white"/>
        </w:rPr>
        <w:t xml:space="preserve"> alteração do valor previsto no </w:t>
      </w:r>
      <w:r w:rsidR="005F42CA" w:rsidRPr="004650E8">
        <w:rPr>
          <w:rFonts w:eastAsia="Calibri"/>
          <w:highlight w:val="white"/>
        </w:rPr>
        <w:t xml:space="preserve">§2º do </w:t>
      </w:r>
      <w:r w:rsidRPr="004650E8">
        <w:rPr>
          <w:rFonts w:eastAsia="Calibri"/>
          <w:highlight w:val="white"/>
        </w:rPr>
        <w:t>art</w:t>
      </w:r>
      <w:r w:rsidR="005F42CA" w:rsidRPr="004650E8">
        <w:rPr>
          <w:rFonts w:eastAsia="Calibri"/>
          <w:highlight w:val="white"/>
        </w:rPr>
        <w:t>.</w:t>
      </w:r>
      <w:r w:rsidRPr="004650E8">
        <w:rPr>
          <w:rFonts w:eastAsia="Calibri"/>
          <w:highlight w:val="white"/>
        </w:rPr>
        <w:t xml:space="preserve"> 95 da Lei nº 14.133</w:t>
      </w:r>
      <w:r w:rsidR="005F42CA" w:rsidRPr="004650E8">
        <w:rPr>
          <w:rFonts w:eastAsia="Calibri"/>
          <w:highlight w:val="white"/>
        </w:rPr>
        <w:t>/</w:t>
      </w:r>
      <w:r w:rsidRPr="004650E8">
        <w:rPr>
          <w:rFonts w:eastAsia="Calibri"/>
          <w:highlight w:val="white"/>
        </w:rPr>
        <w:t>2021.</w:t>
      </w:r>
    </w:p>
    <w:p w14:paraId="1FDC54F3" w14:textId="6DB8A869" w:rsidR="004C1E59" w:rsidRPr="004650E8" w:rsidRDefault="004C1E59" w:rsidP="004650E8">
      <w:pPr>
        <w:spacing w:line="360" w:lineRule="auto"/>
        <w:jc w:val="both"/>
        <w:rPr>
          <w:rFonts w:eastAsia="Calibri"/>
          <w:highlight w:val="white"/>
        </w:rPr>
      </w:pPr>
    </w:p>
    <w:p w14:paraId="6021B090" w14:textId="77777777" w:rsidR="00E843D4" w:rsidRPr="004650E8" w:rsidRDefault="00E843D4" w:rsidP="004650E8">
      <w:pPr>
        <w:spacing w:line="360" w:lineRule="auto"/>
        <w:jc w:val="both"/>
        <w:rPr>
          <w:rFonts w:eastAsia="Calibri"/>
          <w:highlight w:val="white"/>
        </w:rPr>
      </w:pPr>
    </w:p>
    <w:p w14:paraId="62B3B6F5" w14:textId="295F052F" w:rsidR="004C1E59" w:rsidRPr="004650E8" w:rsidRDefault="00384671" w:rsidP="004650E8">
      <w:pPr>
        <w:spacing w:line="360" w:lineRule="auto"/>
        <w:jc w:val="center"/>
        <w:rPr>
          <w:rFonts w:eastAsia="Calibri"/>
          <w:highlight w:val="white"/>
        </w:rPr>
      </w:pPr>
      <w:r w:rsidRPr="004650E8">
        <w:rPr>
          <w:rFonts w:eastAsia="Calibri"/>
          <w:b/>
          <w:highlight w:val="white"/>
        </w:rPr>
        <w:t xml:space="preserve">CAPÍTULO IV </w:t>
      </w:r>
    </w:p>
    <w:p w14:paraId="237EB630" w14:textId="77777777" w:rsidR="004C1E59" w:rsidRPr="004650E8" w:rsidRDefault="00384671" w:rsidP="004650E8">
      <w:pPr>
        <w:spacing w:line="360" w:lineRule="auto"/>
        <w:jc w:val="center"/>
        <w:rPr>
          <w:rFonts w:eastAsia="Calibri"/>
          <w:b/>
        </w:rPr>
      </w:pPr>
      <w:r w:rsidRPr="004650E8">
        <w:rPr>
          <w:rFonts w:eastAsia="Calibri"/>
          <w:b/>
        </w:rPr>
        <w:t>DA CONCESSÃO E APLICAÇÃO</w:t>
      </w:r>
    </w:p>
    <w:p w14:paraId="0DE02E4F" w14:textId="77777777" w:rsidR="004650E8" w:rsidRPr="004650E8" w:rsidRDefault="004650E8" w:rsidP="004650E8">
      <w:pPr>
        <w:spacing w:line="360" w:lineRule="auto"/>
        <w:jc w:val="center"/>
        <w:rPr>
          <w:rFonts w:eastAsia="Calibri"/>
        </w:rPr>
      </w:pPr>
    </w:p>
    <w:p w14:paraId="4F201977" w14:textId="5B91830C" w:rsidR="004C1E59" w:rsidRPr="004650E8" w:rsidRDefault="00384671" w:rsidP="004650E8">
      <w:pPr>
        <w:spacing w:line="360" w:lineRule="auto"/>
        <w:jc w:val="both"/>
        <w:rPr>
          <w:rFonts w:eastAsia="Calibri"/>
        </w:rPr>
      </w:pPr>
      <w:r w:rsidRPr="004650E8">
        <w:rPr>
          <w:rFonts w:eastAsia="Calibri"/>
          <w:b/>
        </w:rPr>
        <w:t>Art. 1</w:t>
      </w:r>
      <w:r w:rsidR="00194FDA" w:rsidRPr="004650E8">
        <w:rPr>
          <w:rFonts w:eastAsia="Calibri"/>
          <w:b/>
        </w:rPr>
        <w:t>8</w:t>
      </w:r>
      <w:r w:rsidRPr="004650E8">
        <w:rPr>
          <w:rFonts w:eastAsia="Calibri"/>
          <w:b/>
        </w:rPr>
        <w:t xml:space="preserve">. </w:t>
      </w:r>
      <w:r w:rsidRPr="004650E8">
        <w:rPr>
          <w:rFonts w:eastAsia="Calibri"/>
        </w:rPr>
        <w:t>A concessão do suprimento de fundos será feita ao agente suprido via Cartão de Pagamento, observado o limite do artigo 1</w:t>
      </w:r>
      <w:r w:rsidR="00E8602B" w:rsidRPr="004650E8">
        <w:rPr>
          <w:rFonts w:eastAsia="Calibri"/>
        </w:rPr>
        <w:t>2</w:t>
      </w:r>
      <w:r w:rsidRPr="004650E8">
        <w:rPr>
          <w:rFonts w:eastAsia="Calibri"/>
        </w:rPr>
        <w:t xml:space="preserve"> desta Portaria Normativa.</w:t>
      </w:r>
    </w:p>
    <w:p w14:paraId="1D7DD5C1" w14:textId="77777777" w:rsidR="004C1E59" w:rsidRPr="004650E8" w:rsidRDefault="00384671" w:rsidP="004650E8">
      <w:pPr>
        <w:spacing w:line="360" w:lineRule="auto"/>
        <w:jc w:val="both"/>
        <w:rPr>
          <w:rFonts w:eastAsia="Calibri"/>
        </w:rPr>
      </w:pPr>
      <w:r w:rsidRPr="004650E8">
        <w:rPr>
          <w:rFonts w:eastAsia="Calibri"/>
          <w:b/>
        </w:rPr>
        <w:t>Art. 1</w:t>
      </w:r>
      <w:r w:rsidR="00194FDA" w:rsidRPr="004650E8">
        <w:rPr>
          <w:rFonts w:eastAsia="Calibri"/>
          <w:b/>
        </w:rPr>
        <w:t>9</w:t>
      </w:r>
      <w:r w:rsidRPr="004650E8">
        <w:rPr>
          <w:rFonts w:eastAsia="Calibri"/>
        </w:rPr>
        <w:t xml:space="preserve">. O prazo para aplicação dos recursos do suprimento de fundos será de 30 (trinta) dias, a contar da data de concessão de limite. </w:t>
      </w:r>
    </w:p>
    <w:p w14:paraId="7F7E19B0" w14:textId="568E2F7E" w:rsidR="004C1E59" w:rsidRPr="004650E8" w:rsidRDefault="00384671" w:rsidP="004650E8">
      <w:pPr>
        <w:spacing w:line="360" w:lineRule="auto"/>
        <w:jc w:val="both"/>
        <w:rPr>
          <w:rFonts w:eastAsia="Calibri"/>
        </w:rPr>
      </w:pPr>
      <w:r w:rsidRPr="004650E8">
        <w:rPr>
          <w:rFonts w:eastAsia="Calibri"/>
          <w:b/>
        </w:rPr>
        <w:t xml:space="preserve">Art. </w:t>
      </w:r>
      <w:r w:rsidR="00194FDA" w:rsidRPr="004650E8">
        <w:rPr>
          <w:rFonts w:eastAsia="Calibri"/>
          <w:b/>
        </w:rPr>
        <w:t>20</w:t>
      </w:r>
      <w:r w:rsidRPr="004650E8">
        <w:rPr>
          <w:rFonts w:eastAsia="Calibri"/>
          <w:b/>
        </w:rPr>
        <w:t>.</w:t>
      </w:r>
      <w:r w:rsidRPr="004650E8">
        <w:rPr>
          <w:rFonts w:eastAsia="Calibri"/>
        </w:rPr>
        <w:t xml:space="preserve"> A prestação de contas deve ser realizada até 5 (cinco) dias</w:t>
      </w:r>
      <w:r w:rsidR="004650E8" w:rsidRPr="004650E8">
        <w:rPr>
          <w:rFonts w:eastAsia="Calibri"/>
        </w:rPr>
        <w:t xml:space="preserve"> úteis</w:t>
      </w:r>
      <w:r w:rsidRPr="004650E8">
        <w:rPr>
          <w:rFonts w:eastAsia="Calibri"/>
        </w:rPr>
        <w:t xml:space="preserve"> após o prazo de utilização dos recursos.</w:t>
      </w:r>
    </w:p>
    <w:p w14:paraId="23AC6735" w14:textId="77777777" w:rsidR="004C1E59" w:rsidRPr="004650E8" w:rsidRDefault="00384671" w:rsidP="004650E8">
      <w:pPr>
        <w:spacing w:line="360" w:lineRule="auto"/>
        <w:jc w:val="both"/>
        <w:rPr>
          <w:rFonts w:eastAsia="Calibri"/>
        </w:rPr>
      </w:pPr>
      <w:r w:rsidRPr="004650E8">
        <w:rPr>
          <w:rFonts w:eastAsia="Calibri"/>
          <w:b/>
        </w:rPr>
        <w:t>Art. 2</w:t>
      </w:r>
      <w:r w:rsidR="00194FDA" w:rsidRPr="004650E8">
        <w:rPr>
          <w:rFonts w:eastAsia="Calibri"/>
          <w:b/>
        </w:rPr>
        <w:t>1</w:t>
      </w:r>
      <w:r w:rsidRPr="004650E8">
        <w:rPr>
          <w:rFonts w:eastAsia="Calibri"/>
          <w:b/>
        </w:rPr>
        <w:t>.</w:t>
      </w:r>
      <w:r w:rsidRPr="004650E8">
        <w:rPr>
          <w:rFonts w:eastAsia="Calibri"/>
        </w:rPr>
        <w:t xml:space="preserve"> O suprido deverá observar os seguintes procedimentos e condições para que seja aprovada a despesa:</w:t>
      </w:r>
    </w:p>
    <w:p w14:paraId="28000FE2"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Aplicar os recursos dentro do prazo de utilização do suprimento de fundos;</w:t>
      </w:r>
    </w:p>
    <w:p w14:paraId="256E0A59"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Não fracionar a despesa para caracterizar o atendimento do §1º do art. 1</w:t>
      </w:r>
      <w:r w:rsidR="00392F44" w:rsidRPr="004650E8">
        <w:rPr>
          <w:rFonts w:eastAsia="Calibri"/>
          <w:highlight w:val="white"/>
        </w:rPr>
        <w:t>3</w:t>
      </w:r>
      <w:r w:rsidRPr="004650E8">
        <w:rPr>
          <w:rFonts w:eastAsia="Calibri"/>
          <w:highlight w:val="white"/>
        </w:rPr>
        <w:t xml:space="preserve"> desta Portaria Normativa; </w:t>
      </w:r>
    </w:p>
    <w:p w14:paraId="098FC97C"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 xml:space="preserve">Exigir o preenchimento correto e sem rasuras de todos os campos das notas fiscais ou documentos fiscais equivalentes, que deverão, obrigatoriamente, conter </w:t>
      </w:r>
      <w:r w:rsidR="001808E1" w:rsidRPr="004650E8">
        <w:rPr>
          <w:rFonts w:eastAsia="Calibri"/>
          <w:highlight w:val="white"/>
        </w:rPr>
        <w:t xml:space="preserve">os seguintes dados: razão social e </w:t>
      </w:r>
      <w:r w:rsidRPr="004650E8">
        <w:rPr>
          <w:rFonts w:eastAsia="Calibri"/>
          <w:highlight w:val="white"/>
        </w:rPr>
        <w:t>CNPJ do CAU/GO, data de emissão, descrição do produto ou serviço adquirido</w:t>
      </w:r>
      <w:r w:rsidR="001808E1" w:rsidRPr="004650E8">
        <w:rPr>
          <w:rFonts w:eastAsia="Calibri"/>
          <w:highlight w:val="white"/>
        </w:rPr>
        <w:t>,</w:t>
      </w:r>
      <w:r w:rsidRPr="004650E8">
        <w:rPr>
          <w:rFonts w:eastAsia="Calibri"/>
          <w:highlight w:val="white"/>
        </w:rPr>
        <w:t xml:space="preserve"> valores unitário e total, quilometragem e placa do veículo quando se tratar de despesa de veículo;</w:t>
      </w:r>
    </w:p>
    <w:p w14:paraId="6C3142A8"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As notas fiscais ou documentos fiscais equivalentes deverão estar dentro do prazo de validade, sendo admitidos, além da nota fiscal e do cupom fiscal, a fatura e o recibo, que no caso deverão ser emitidos em nome do CAU/GO e seu preenchimento sem rasuras e pelo valor total do bem adquirido ou serviço prestado;</w:t>
      </w:r>
    </w:p>
    <w:p w14:paraId="38D7121B"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Atestar a nota fiscal ou o documento fiscal equivalente, sendo essa a confirmação de que o material foi entregue ou o serviço foi prestado;</w:t>
      </w:r>
    </w:p>
    <w:p w14:paraId="2DDE5F04"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lastRenderedPageBreak/>
        <w:t>Observar a necessidade de retenção dos tributos referentes à prestação de serviços, realizando o pagamento pelo valor líquido do documento fiscal;</w:t>
      </w:r>
    </w:p>
    <w:p w14:paraId="46EFE1B0" w14:textId="77777777" w:rsidR="004504B0" w:rsidRPr="004650E8" w:rsidRDefault="004504B0" w:rsidP="004650E8">
      <w:pPr>
        <w:pStyle w:val="PargrafodaLista"/>
        <w:spacing w:line="360" w:lineRule="auto"/>
        <w:ind w:left="1440"/>
        <w:contextualSpacing w:val="0"/>
        <w:jc w:val="both"/>
        <w:rPr>
          <w:rFonts w:eastAsia="Calibri"/>
          <w:highlight w:val="white"/>
        </w:rPr>
      </w:pPr>
      <w:r w:rsidRPr="004650E8">
        <w:rPr>
          <w:b/>
          <w:bCs/>
        </w:rPr>
        <w:t>Parágrafo único.</w:t>
      </w:r>
      <w:r w:rsidRPr="004650E8">
        <w:t xml:space="preserve"> No ato da recepção e/ou confecção dos documentos comprobatórios das despesas, o agente suprido deverá, sempre que julgar conveniente e oportuno, diligenciar à </w:t>
      </w:r>
      <w:r w:rsidR="0055092F" w:rsidRPr="004650E8">
        <w:t xml:space="preserve">Gerência de Planejamento e Finanças do CAU/GO </w:t>
      </w:r>
      <w:r w:rsidRPr="004650E8">
        <w:t>para verificar a obrigatoriedade de efetuar ou não retenções, destaques e recolhimentos das verbas de natureza tributária incidentes sobre as operações realizadas;</w:t>
      </w:r>
    </w:p>
    <w:p w14:paraId="7BB1F07B"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Não permitir que o valor de cada despesa do suprimento de fundos seja superior ao determinado no artigo 1</w:t>
      </w:r>
      <w:r w:rsidR="00FB46D3" w:rsidRPr="004650E8">
        <w:rPr>
          <w:rFonts w:eastAsia="Calibri"/>
          <w:highlight w:val="white"/>
        </w:rPr>
        <w:t>3</w:t>
      </w:r>
      <w:r w:rsidRPr="004650E8">
        <w:rPr>
          <w:rFonts w:eastAsia="Calibri"/>
          <w:highlight w:val="white"/>
        </w:rPr>
        <w:t xml:space="preserve"> desta Portaria Normativa;</w:t>
      </w:r>
    </w:p>
    <w:p w14:paraId="74638CD3"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 xml:space="preserve">Controlar o saldo financeiro concedido, dada a vedação para a realização de despesa sem que haja saldo suficiente para seu atendimento e dentro do limite estabelecido </w:t>
      </w:r>
      <w:r w:rsidR="00A17DCE" w:rsidRPr="004650E8">
        <w:rPr>
          <w:rFonts w:eastAsia="Calibri"/>
          <w:highlight w:val="white"/>
        </w:rPr>
        <w:t>na portaria de autorização expressa do ordenador de despesa</w:t>
      </w:r>
      <w:r w:rsidR="00AC1826" w:rsidRPr="004650E8">
        <w:rPr>
          <w:rFonts w:eastAsia="Calibri"/>
          <w:highlight w:val="white"/>
        </w:rPr>
        <w:t>, respeitando o art. 1</w:t>
      </w:r>
      <w:r w:rsidR="00FB46D3" w:rsidRPr="004650E8">
        <w:rPr>
          <w:rFonts w:eastAsia="Calibri"/>
          <w:highlight w:val="white"/>
        </w:rPr>
        <w:t>2</w:t>
      </w:r>
      <w:r w:rsidR="00AC1826" w:rsidRPr="004650E8">
        <w:rPr>
          <w:rFonts w:eastAsia="Calibri"/>
          <w:highlight w:val="white"/>
        </w:rPr>
        <w:t xml:space="preserve"> desta Portaria Normativa</w:t>
      </w:r>
      <w:r w:rsidRPr="004650E8">
        <w:rPr>
          <w:rFonts w:eastAsia="Calibri"/>
          <w:highlight w:val="white"/>
        </w:rPr>
        <w:t>;</w:t>
      </w:r>
    </w:p>
    <w:p w14:paraId="2A1E7B75" w14:textId="77777777" w:rsidR="004C1E59" w:rsidRPr="004650E8" w:rsidRDefault="00384671" w:rsidP="004650E8">
      <w:pPr>
        <w:pStyle w:val="PargrafodaLista"/>
        <w:numPr>
          <w:ilvl w:val="0"/>
          <w:numId w:val="6"/>
        </w:numPr>
        <w:spacing w:line="360" w:lineRule="auto"/>
        <w:ind w:left="851" w:hanging="142"/>
        <w:contextualSpacing w:val="0"/>
        <w:jc w:val="both"/>
        <w:rPr>
          <w:rFonts w:eastAsia="Calibri"/>
          <w:highlight w:val="white"/>
        </w:rPr>
      </w:pPr>
      <w:r w:rsidRPr="004650E8">
        <w:rPr>
          <w:rFonts w:eastAsia="Calibri"/>
          <w:highlight w:val="white"/>
        </w:rPr>
        <w:t xml:space="preserve">O prazo para aplicação de suprimentos de fundos no exercício financeiro será, impreterivelmente, dia 31 de dezembro; </w:t>
      </w:r>
    </w:p>
    <w:p w14:paraId="6E72F445" w14:textId="77777777" w:rsidR="004C1E59" w:rsidRPr="004650E8" w:rsidRDefault="00AC1826" w:rsidP="004650E8">
      <w:pPr>
        <w:pStyle w:val="PargrafodaLista"/>
        <w:numPr>
          <w:ilvl w:val="0"/>
          <w:numId w:val="6"/>
        </w:numPr>
        <w:spacing w:line="360" w:lineRule="auto"/>
        <w:ind w:left="851" w:hanging="142"/>
        <w:contextualSpacing w:val="0"/>
        <w:jc w:val="both"/>
        <w:rPr>
          <w:rFonts w:eastAsia="Calibri"/>
          <w:highlight w:val="white"/>
        </w:rPr>
      </w:pPr>
      <w:r w:rsidRPr="004650E8">
        <w:t xml:space="preserve">Todos os documentos fiscais relacionados às despesas realizadas devem conter comprovação acerca da sua quitação, sendo aceitos os comprovantes: a) em papel, emitido após transação com o Cartão de Pagamento em máquina de cartão; </w:t>
      </w:r>
      <w:r w:rsidR="0055092F" w:rsidRPr="004650E8">
        <w:t xml:space="preserve">ou </w:t>
      </w:r>
      <w:r w:rsidRPr="004650E8">
        <w:t>b) de transferência bancária para o estabelecimento ou prestador de serviço</w:t>
      </w:r>
      <w:r w:rsidR="0055092F" w:rsidRPr="004650E8">
        <w:rPr>
          <w:rFonts w:eastAsia="Calibri"/>
          <w:highlight w:val="white"/>
        </w:rPr>
        <w:t>;</w:t>
      </w:r>
    </w:p>
    <w:p w14:paraId="4B11E0D2" w14:textId="15C0851A" w:rsidR="0078357D" w:rsidRPr="004650E8" w:rsidRDefault="0078357D" w:rsidP="004650E8">
      <w:pPr>
        <w:pStyle w:val="PargrafodaLista"/>
        <w:numPr>
          <w:ilvl w:val="0"/>
          <w:numId w:val="6"/>
        </w:numPr>
        <w:spacing w:line="360" w:lineRule="auto"/>
        <w:ind w:left="851" w:hanging="142"/>
        <w:contextualSpacing w:val="0"/>
        <w:jc w:val="both"/>
        <w:rPr>
          <w:rFonts w:eastAsia="Calibri"/>
          <w:highlight w:val="white"/>
        </w:rPr>
      </w:pPr>
      <w:r w:rsidRPr="004650E8">
        <w:t>Excepcionalmente, em casos de pagamentos de pequeno vulto e/ou de necessidade imediata que exija pronto pagamento, serão aceitos recibos emitidos em nome de empregado público e/ou por via de aplicativo próprio, enquanto não for realizado cadastro próprio do CAU/GO, a exemplo do que ocorre nos casos de transporte por aplicativo e/ou táxi, quando estritamente vinculado ao serviço</w:t>
      </w:r>
      <w:r w:rsidR="000F463C" w:rsidRPr="004650E8">
        <w:t>;</w:t>
      </w:r>
    </w:p>
    <w:p w14:paraId="15BF031A" w14:textId="535C27ED" w:rsidR="000F463C" w:rsidRPr="004650E8" w:rsidRDefault="000F463C" w:rsidP="004650E8">
      <w:pPr>
        <w:pStyle w:val="PargrafodaLista"/>
        <w:numPr>
          <w:ilvl w:val="0"/>
          <w:numId w:val="6"/>
        </w:numPr>
        <w:spacing w:line="360" w:lineRule="auto"/>
        <w:ind w:left="851" w:hanging="142"/>
        <w:contextualSpacing w:val="0"/>
        <w:jc w:val="both"/>
      </w:pPr>
      <w:r w:rsidRPr="004650E8">
        <w:t>Todos os documentos comprobatórios das despesas realizadas devem estar quitados, e tratando-se de cupom fiscal ao consumidor deverá constar o CNPJ do CAU/GO;</w:t>
      </w:r>
    </w:p>
    <w:p w14:paraId="12DC72CE" w14:textId="4CC5B6D4" w:rsidR="000F463C" w:rsidRPr="004650E8" w:rsidRDefault="000F463C" w:rsidP="004650E8">
      <w:pPr>
        <w:pStyle w:val="PargrafodaLista"/>
        <w:numPr>
          <w:ilvl w:val="0"/>
          <w:numId w:val="6"/>
        </w:numPr>
        <w:spacing w:line="360" w:lineRule="auto"/>
        <w:ind w:left="851" w:hanging="142"/>
        <w:contextualSpacing w:val="0"/>
        <w:jc w:val="both"/>
      </w:pPr>
      <w:r w:rsidRPr="004650E8">
        <w:t>Não serão aceitos documentos comprobatórios de despesas que apresentarem:</w:t>
      </w:r>
    </w:p>
    <w:p w14:paraId="2E2D0574" w14:textId="5FCCD34B" w:rsidR="000F463C" w:rsidRPr="004650E8" w:rsidRDefault="000F463C" w:rsidP="004650E8">
      <w:pPr>
        <w:pStyle w:val="PargrafodaLista"/>
        <w:numPr>
          <w:ilvl w:val="0"/>
          <w:numId w:val="13"/>
        </w:numPr>
        <w:spacing w:line="360" w:lineRule="auto"/>
        <w:contextualSpacing w:val="0"/>
        <w:jc w:val="both"/>
        <w:rPr>
          <w:rFonts w:eastAsia="Calibri"/>
          <w:highlight w:val="white"/>
        </w:rPr>
      </w:pPr>
      <w:r w:rsidRPr="004650E8">
        <w:rPr>
          <w:rFonts w:eastAsia="Calibri"/>
          <w:highlight w:val="white"/>
        </w:rPr>
        <w:t>rasuras, rasgos ou campos sobrescritos;</w:t>
      </w:r>
    </w:p>
    <w:p w14:paraId="10370AF6" w14:textId="2E20A935" w:rsidR="000F463C" w:rsidRPr="004650E8" w:rsidRDefault="000F463C" w:rsidP="004650E8">
      <w:pPr>
        <w:pStyle w:val="PargrafodaLista"/>
        <w:numPr>
          <w:ilvl w:val="0"/>
          <w:numId w:val="13"/>
        </w:numPr>
        <w:spacing w:line="360" w:lineRule="auto"/>
        <w:contextualSpacing w:val="0"/>
        <w:jc w:val="both"/>
        <w:rPr>
          <w:rFonts w:eastAsia="Calibri"/>
          <w:highlight w:val="white"/>
        </w:rPr>
      </w:pPr>
      <w:r w:rsidRPr="004650E8">
        <w:rPr>
          <w:rFonts w:eastAsia="Calibri"/>
          <w:highlight w:val="white"/>
        </w:rPr>
        <w:t>informações escritas em grafias diferentes; e</w:t>
      </w:r>
    </w:p>
    <w:p w14:paraId="11749DEB" w14:textId="6ED7F150" w:rsidR="000F463C" w:rsidRPr="004650E8" w:rsidRDefault="000F463C" w:rsidP="004650E8">
      <w:pPr>
        <w:pStyle w:val="PargrafodaLista"/>
        <w:numPr>
          <w:ilvl w:val="0"/>
          <w:numId w:val="13"/>
        </w:numPr>
        <w:spacing w:line="360" w:lineRule="auto"/>
        <w:contextualSpacing w:val="0"/>
        <w:jc w:val="both"/>
        <w:rPr>
          <w:rFonts w:eastAsia="Calibri"/>
          <w:highlight w:val="white"/>
        </w:rPr>
      </w:pPr>
      <w:r w:rsidRPr="004650E8">
        <w:rPr>
          <w:rFonts w:eastAsia="Calibri"/>
          <w:highlight w:val="white"/>
        </w:rPr>
        <w:t>informações escritas com canetas em cores diferentes.</w:t>
      </w:r>
    </w:p>
    <w:p w14:paraId="07EAA58B" w14:textId="385B387F" w:rsidR="006F5E3D" w:rsidRPr="004650E8" w:rsidRDefault="006F5E3D" w:rsidP="004650E8">
      <w:pPr>
        <w:widowControl w:val="0"/>
        <w:spacing w:line="360" w:lineRule="auto"/>
        <w:jc w:val="both"/>
      </w:pPr>
      <w:r w:rsidRPr="004650E8">
        <w:rPr>
          <w:rFonts w:eastAsia="Calibri"/>
          <w:b/>
          <w:highlight w:val="white"/>
        </w:rPr>
        <w:t>Art. 2</w:t>
      </w:r>
      <w:r w:rsidR="00194FDA" w:rsidRPr="004650E8">
        <w:rPr>
          <w:rFonts w:eastAsia="Calibri"/>
          <w:b/>
          <w:highlight w:val="white"/>
        </w:rPr>
        <w:t>2</w:t>
      </w:r>
      <w:r w:rsidRPr="004650E8">
        <w:rPr>
          <w:rFonts w:eastAsia="Calibri"/>
          <w:b/>
          <w:highlight w:val="white"/>
        </w:rPr>
        <w:t xml:space="preserve">. </w:t>
      </w:r>
      <w:r w:rsidR="005D5C89" w:rsidRPr="004650E8">
        <w:t>O empregado que tenha realizado despesas com recursos próprios, em casos devidamente justificados, poderá solicitar a</w:t>
      </w:r>
      <w:r w:rsidR="004650E8" w:rsidRPr="004650E8">
        <w:t>o</w:t>
      </w:r>
      <w:r w:rsidR="005D5C89" w:rsidRPr="004650E8">
        <w:t xml:space="preserve"> agente suprido, à conta de suprimentos de fundos sob responsabilidade deste, o correspondente reembolso.</w:t>
      </w:r>
    </w:p>
    <w:p w14:paraId="4FDD8363" w14:textId="77777777" w:rsidR="005D5C89" w:rsidRPr="004650E8" w:rsidRDefault="005D5C89" w:rsidP="004650E8">
      <w:pPr>
        <w:widowControl w:val="0"/>
        <w:spacing w:line="360" w:lineRule="auto"/>
        <w:ind w:left="720"/>
        <w:jc w:val="both"/>
        <w:rPr>
          <w:rFonts w:eastAsia="Calibri"/>
          <w:b/>
          <w:highlight w:val="white"/>
        </w:rPr>
      </w:pPr>
      <w:r w:rsidRPr="004650E8">
        <w:rPr>
          <w:b/>
          <w:bCs/>
        </w:rPr>
        <w:t>Parágrafo único.</w:t>
      </w:r>
      <w:r w:rsidRPr="004650E8">
        <w:t xml:space="preserve"> Para os casos em que a despesa tenha sido paga com recursos próprios, o prazo para a solicitação de reembolso será até o último dia útil do mês da emissão da nota fiscal.</w:t>
      </w:r>
    </w:p>
    <w:p w14:paraId="21D8D212" w14:textId="493E2890" w:rsidR="00006B8D" w:rsidRPr="004650E8" w:rsidRDefault="00006B8D" w:rsidP="004650E8">
      <w:pPr>
        <w:spacing w:line="360" w:lineRule="auto"/>
        <w:jc w:val="center"/>
        <w:rPr>
          <w:rFonts w:eastAsia="Calibri"/>
          <w:b/>
        </w:rPr>
      </w:pPr>
    </w:p>
    <w:p w14:paraId="17ADACA7" w14:textId="3E4954D3" w:rsidR="004C1E59" w:rsidRPr="004650E8" w:rsidRDefault="00384671" w:rsidP="004650E8">
      <w:pPr>
        <w:spacing w:line="360" w:lineRule="auto"/>
        <w:jc w:val="center"/>
        <w:rPr>
          <w:rFonts w:eastAsia="Calibri"/>
        </w:rPr>
      </w:pPr>
      <w:r w:rsidRPr="004650E8">
        <w:rPr>
          <w:rFonts w:eastAsia="Calibri"/>
          <w:b/>
        </w:rPr>
        <w:t>CAPÍTULO V</w:t>
      </w:r>
    </w:p>
    <w:p w14:paraId="7CC53EED" w14:textId="77777777" w:rsidR="004C1E59" w:rsidRPr="004650E8" w:rsidRDefault="00384671" w:rsidP="004650E8">
      <w:pPr>
        <w:spacing w:line="360" w:lineRule="auto"/>
        <w:jc w:val="center"/>
        <w:rPr>
          <w:rFonts w:eastAsia="Calibri"/>
          <w:b/>
        </w:rPr>
      </w:pPr>
      <w:r w:rsidRPr="004650E8">
        <w:rPr>
          <w:rFonts w:eastAsia="Calibri"/>
          <w:b/>
        </w:rPr>
        <w:t>DA PRESTAÇÃO DE CONTAS</w:t>
      </w:r>
    </w:p>
    <w:p w14:paraId="0F581230" w14:textId="77777777" w:rsidR="004650E8" w:rsidRPr="004650E8" w:rsidRDefault="004650E8" w:rsidP="004650E8">
      <w:pPr>
        <w:spacing w:line="360" w:lineRule="auto"/>
        <w:jc w:val="center"/>
        <w:rPr>
          <w:rFonts w:eastAsia="Calibri"/>
        </w:rPr>
      </w:pPr>
    </w:p>
    <w:p w14:paraId="360C03F3" w14:textId="077F7E39" w:rsidR="004C1E59" w:rsidRPr="004650E8" w:rsidRDefault="00384671" w:rsidP="004650E8">
      <w:pPr>
        <w:widowControl w:val="0"/>
        <w:spacing w:line="360" w:lineRule="auto"/>
        <w:jc w:val="both"/>
        <w:rPr>
          <w:rFonts w:eastAsia="Calibri"/>
        </w:rPr>
      </w:pPr>
      <w:r w:rsidRPr="004650E8">
        <w:rPr>
          <w:rFonts w:eastAsia="Calibri"/>
          <w:b/>
        </w:rPr>
        <w:t>Art. 2</w:t>
      </w:r>
      <w:r w:rsidR="00E8602B" w:rsidRPr="004650E8">
        <w:rPr>
          <w:rFonts w:eastAsia="Calibri"/>
          <w:b/>
        </w:rPr>
        <w:t>3</w:t>
      </w:r>
      <w:r w:rsidRPr="004650E8">
        <w:rPr>
          <w:rFonts w:eastAsia="Calibri"/>
        </w:rPr>
        <w:t xml:space="preserve">. A prestação de contas da aplicação do suprimento de fundos será </w:t>
      </w:r>
      <w:r w:rsidR="00C94F3C" w:rsidRPr="004650E8">
        <w:rPr>
          <w:rFonts w:eastAsia="Calibri"/>
        </w:rPr>
        <w:t xml:space="preserve">realizada conforme </w:t>
      </w:r>
      <w:r w:rsidR="00C94F3C" w:rsidRPr="004650E8">
        <w:rPr>
          <w:rFonts w:eastAsia="Calibri"/>
        </w:rPr>
        <w:lastRenderedPageBreak/>
        <w:t xml:space="preserve">o modelo no Anexo II, que será </w:t>
      </w:r>
      <w:r w:rsidRPr="004650E8">
        <w:rPr>
          <w:rFonts w:eastAsia="Calibri"/>
        </w:rPr>
        <w:t>composta de:</w:t>
      </w:r>
    </w:p>
    <w:p w14:paraId="57891600" w14:textId="77777777" w:rsidR="004C1E59" w:rsidRPr="004650E8" w:rsidRDefault="003D2336" w:rsidP="004650E8">
      <w:pPr>
        <w:pStyle w:val="PargrafodaLista"/>
        <w:numPr>
          <w:ilvl w:val="0"/>
          <w:numId w:val="8"/>
        </w:numPr>
        <w:spacing w:line="360" w:lineRule="auto"/>
        <w:ind w:left="851" w:hanging="142"/>
        <w:contextualSpacing w:val="0"/>
        <w:jc w:val="both"/>
      </w:pPr>
      <w:r w:rsidRPr="004650E8">
        <w:t xml:space="preserve">Documentos fiscais </w:t>
      </w:r>
      <w:r w:rsidR="00384671" w:rsidRPr="004650E8">
        <w:t>das despesas realizadas emitido</w:t>
      </w:r>
      <w:r w:rsidRPr="004650E8">
        <w:t>s</w:t>
      </w:r>
      <w:r w:rsidR="00384671" w:rsidRPr="004650E8">
        <w:t xml:space="preserve"> em nome do CAU/GO</w:t>
      </w:r>
      <w:r w:rsidRPr="004650E8">
        <w:t>, com atesto de que os serviços foram prestados ou os materiais foram recebidos, sem rasuras e datados de acordo com o período de aplicação do suprimento de fundos</w:t>
      </w:r>
      <w:r w:rsidR="003D5EEC" w:rsidRPr="004650E8">
        <w:t>;</w:t>
      </w:r>
    </w:p>
    <w:p w14:paraId="411DD956" w14:textId="77777777" w:rsidR="004C1E59" w:rsidRPr="004650E8" w:rsidRDefault="00384671" w:rsidP="004650E8">
      <w:pPr>
        <w:pStyle w:val="PargrafodaLista"/>
        <w:numPr>
          <w:ilvl w:val="0"/>
          <w:numId w:val="8"/>
        </w:numPr>
        <w:spacing w:line="360" w:lineRule="auto"/>
        <w:ind w:left="851" w:hanging="142"/>
        <w:contextualSpacing w:val="0"/>
        <w:jc w:val="both"/>
      </w:pPr>
      <w:r w:rsidRPr="004650E8">
        <w:t xml:space="preserve">Comprovante da quitação de cada despesa, conforme </w:t>
      </w:r>
      <w:r w:rsidR="003D2336" w:rsidRPr="004650E8">
        <w:t xml:space="preserve">inciso X </w:t>
      </w:r>
      <w:r w:rsidRPr="004650E8">
        <w:t>do artigo 2</w:t>
      </w:r>
      <w:r w:rsidR="003D2336" w:rsidRPr="004650E8">
        <w:t>1</w:t>
      </w:r>
      <w:r w:rsidRPr="004650E8">
        <w:t xml:space="preserve"> desta Portaria Normativa;</w:t>
      </w:r>
    </w:p>
    <w:p w14:paraId="3127A231" w14:textId="77777777" w:rsidR="004C1E59" w:rsidRPr="004650E8" w:rsidRDefault="00384671" w:rsidP="004650E8">
      <w:pPr>
        <w:pStyle w:val="PargrafodaLista"/>
        <w:numPr>
          <w:ilvl w:val="0"/>
          <w:numId w:val="8"/>
        </w:numPr>
        <w:spacing w:line="360" w:lineRule="auto"/>
        <w:ind w:left="851" w:hanging="142"/>
        <w:contextualSpacing w:val="0"/>
        <w:jc w:val="both"/>
      </w:pPr>
      <w:r w:rsidRPr="004650E8">
        <w:t>Justificativa da compra, contendo a discriminação clara do serviço prestado ou material fornecido, não se admitindo a generalização ou abreviaturas que impossibilitem o conhecimento das despesas efetivamente realizadas;</w:t>
      </w:r>
    </w:p>
    <w:p w14:paraId="3ACAB418" w14:textId="4F022AB6" w:rsidR="00B36897" w:rsidRPr="004650E8" w:rsidRDefault="00B36897" w:rsidP="004650E8">
      <w:pPr>
        <w:pStyle w:val="PargrafodaLista"/>
        <w:spacing w:line="360" w:lineRule="auto"/>
        <w:ind w:left="851"/>
        <w:contextualSpacing w:val="0"/>
        <w:jc w:val="both"/>
      </w:pPr>
      <w:r w:rsidRPr="004650E8">
        <w:rPr>
          <w:b/>
          <w:bCs/>
        </w:rPr>
        <w:t>Parágrafo único.</w:t>
      </w:r>
      <w:r w:rsidRPr="004650E8">
        <w:t xml:space="preserve"> Anexar as solicitações de materiais ou serviços realizadas pelos demais colaboradores do CAU/GO, se for o caso.</w:t>
      </w:r>
    </w:p>
    <w:p w14:paraId="5886057F" w14:textId="77777777" w:rsidR="004C1E59" w:rsidRPr="004650E8" w:rsidRDefault="00384671" w:rsidP="004650E8">
      <w:pPr>
        <w:pStyle w:val="PargrafodaLista"/>
        <w:numPr>
          <w:ilvl w:val="0"/>
          <w:numId w:val="8"/>
        </w:numPr>
        <w:spacing w:line="360" w:lineRule="auto"/>
        <w:ind w:left="851" w:hanging="142"/>
        <w:contextualSpacing w:val="0"/>
        <w:jc w:val="both"/>
      </w:pPr>
      <w:r w:rsidRPr="004650E8">
        <w:t>Comprovante do saldo de cartão de pagamento, mantido em nome do CAU/GO, devidamente identificado com nome do empregado e com o período do suprimento de fundos</w:t>
      </w:r>
      <w:r w:rsidR="006B582A" w:rsidRPr="004650E8">
        <w:t>;</w:t>
      </w:r>
    </w:p>
    <w:p w14:paraId="288DAEDB" w14:textId="77777777" w:rsidR="006B582A" w:rsidRPr="004650E8" w:rsidRDefault="006B582A" w:rsidP="004650E8">
      <w:pPr>
        <w:pStyle w:val="PargrafodaLista"/>
        <w:numPr>
          <w:ilvl w:val="0"/>
          <w:numId w:val="8"/>
        </w:numPr>
        <w:spacing w:line="360" w:lineRule="auto"/>
        <w:ind w:left="851" w:hanging="142"/>
        <w:contextualSpacing w:val="0"/>
        <w:jc w:val="both"/>
      </w:pPr>
      <w:r w:rsidRPr="004650E8">
        <w:t>Comprovante de restituição por falta de aplicação, parcial ou total, em conta do CAU/GO, mediante transferência bancária, para os casos em que o adiantamento foi feito na conta do agente suprido e em casos de saque.</w:t>
      </w:r>
    </w:p>
    <w:p w14:paraId="5E79D99B" w14:textId="77777777" w:rsidR="004C1E59" w:rsidRPr="004650E8" w:rsidRDefault="00384671" w:rsidP="004650E8">
      <w:pPr>
        <w:spacing w:line="360" w:lineRule="auto"/>
        <w:jc w:val="both"/>
        <w:rPr>
          <w:rFonts w:eastAsia="Calibri"/>
          <w:highlight w:val="white"/>
        </w:rPr>
      </w:pPr>
      <w:r w:rsidRPr="004650E8">
        <w:rPr>
          <w:rFonts w:eastAsia="Calibri"/>
          <w:b/>
          <w:highlight w:val="white"/>
        </w:rPr>
        <w:t>Art. 2</w:t>
      </w:r>
      <w:r w:rsidR="00F930B0" w:rsidRPr="004650E8">
        <w:rPr>
          <w:rFonts w:eastAsia="Calibri"/>
          <w:b/>
          <w:highlight w:val="white"/>
        </w:rPr>
        <w:t>4</w:t>
      </w:r>
      <w:r w:rsidRPr="004650E8">
        <w:rPr>
          <w:rFonts w:eastAsia="Calibri"/>
          <w:b/>
          <w:highlight w:val="white"/>
        </w:rPr>
        <w:t>.</w:t>
      </w:r>
      <w:r w:rsidRPr="004650E8">
        <w:rPr>
          <w:rFonts w:eastAsia="Calibri"/>
          <w:highlight w:val="white"/>
        </w:rPr>
        <w:t xml:space="preserve"> Somente serão admitidos documentos de despesas realizadas em data igual ou posterior ao adiantamento do suprimento de fundos.</w:t>
      </w:r>
    </w:p>
    <w:p w14:paraId="039DE52E" w14:textId="77777777"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2</w:t>
      </w:r>
      <w:r w:rsidR="00F930B0" w:rsidRPr="004650E8">
        <w:rPr>
          <w:rFonts w:eastAsia="Calibri"/>
          <w:b/>
          <w:highlight w:val="white"/>
        </w:rPr>
        <w:t>5</w:t>
      </w:r>
      <w:r w:rsidRPr="004650E8">
        <w:rPr>
          <w:rFonts w:eastAsia="Calibri"/>
          <w:b/>
          <w:highlight w:val="white"/>
        </w:rPr>
        <w:t>.</w:t>
      </w:r>
      <w:r w:rsidRPr="004650E8">
        <w:rPr>
          <w:rFonts w:eastAsia="Calibri"/>
          <w:highlight w:val="white"/>
        </w:rPr>
        <w:t xml:space="preserve"> A concessão de suprimento de fundos entregue no último mês do exercício financeiro será contabilizada em 31 de dezembro, reconhecendo-se o valor total concedido como despesa, tendo como contrapartida conta do grupo despesa de suprimento de fundos a comprovar. </w:t>
      </w:r>
    </w:p>
    <w:p w14:paraId="5B6DCF54" w14:textId="77777777" w:rsidR="004C1E59" w:rsidRPr="004650E8" w:rsidRDefault="002F00E0" w:rsidP="004650E8">
      <w:pPr>
        <w:widowControl w:val="0"/>
        <w:spacing w:line="360" w:lineRule="auto"/>
        <w:ind w:left="720"/>
        <w:jc w:val="both"/>
        <w:rPr>
          <w:rFonts w:eastAsia="Calibri"/>
          <w:highlight w:val="white"/>
        </w:rPr>
      </w:pPr>
      <w:r w:rsidRPr="004650E8">
        <w:rPr>
          <w:rFonts w:eastAsia="Calibri"/>
          <w:b/>
          <w:highlight w:val="white"/>
        </w:rPr>
        <w:t>Parágrafo único</w:t>
      </w:r>
      <w:r w:rsidR="00F930B0" w:rsidRPr="004650E8">
        <w:rPr>
          <w:rFonts w:eastAsia="Calibri"/>
          <w:b/>
          <w:highlight w:val="white"/>
        </w:rPr>
        <w:t>.</w:t>
      </w:r>
      <w:r w:rsidR="00384671" w:rsidRPr="004650E8">
        <w:rPr>
          <w:rFonts w:eastAsia="Calibri"/>
          <w:highlight w:val="white"/>
        </w:rPr>
        <w:t xml:space="preserve"> A prestação de contas da importância concedida nos termos deste artigo deverá ser apresentada, impreterivelmente, até o dia 15 de janeiro do exercício subsequente.</w:t>
      </w:r>
    </w:p>
    <w:p w14:paraId="1EB7BD82" w14:textId="2B504EE4" w:rsidR="004C1E59" w:rsidRPr="004650E8" w:rsidRDefault="00384671" w:rsidP="004650E8">
      <w:pPr>
        <w:widowControl w:val="0"/>
        <w:spacing w:line="360" w:lineRule="auto"/>
        <w:jc w:val="both"/>
        <w:rPr>
          <w:rFonts w:eastAsia="Calibri"/>
        </w:rPr>
      </w:pPr>
      <w:r w:rsidRPr="004650E8">
        <w:rPr>
          <w:rFonts w:eastAsia="Calibri"/>
          <w:b/>
        </w:rPr>
        <w:t>Art. 2</w:t>
      </w:r>
      <w:r w:rsidR="002F00E0" w:rsidRPr="004650E8">
        <w:rPr>
          <w:rFonts w:eastAsia="Calibri"/>
          <w:b/>
        </w:rPr>
        <w:t>6</w:t>
      </w:r>
      <w:r w:rsidRPr="004650E8">
        <w:rPr>
          <w:rFonts w:eastAsia="Calibri"/>
          <w:b/>
        </w:rPr>
        <w:t>.</w:t>
      </w:r>
      <w:r w:rsidRPr="004650E8">
        <w:rPr>
          <w:rFonts w:eastAsia="Calibri"/>
        </w:rPr>
        <w:t xml:space="preserve"> O suprido encaminhará a prestação de contas </w:t>
      </w:r>
      <w:r w:rsidR="003A5561" w:rsidRPr="004650E8">
        <w:rPr>
          <w:rFonts w:eastAsia="Calibri"/>
        </w:rPr>
        <w:t xml:space="preserve">à Gerência </w:t>
      </w:r>
      <w:r w:rsidR="008F55C9" w:rsidRPr="004650E8">
        <w:rPr>
          <w:rFonts w:eastAsia="Calibri"/>
        </w:rPr>
        <w:t>de Planejamento e Finanças</w:t>
      </w:r>
      <w:r w:rsidR="00853CDF" w:rsidRPr="004650E8">
        <w:rPr>
          <w:rFonts w:eastAsia="Calibri"/>
        </w:rPr>
        <w:t>, que examinará a documentação sob o</w:t>
      </w:r>
      <w:r w:rsidR="00051BEF" w:rsidRPr="004650E8">
        <w:rPr>
          <w:rFonts w:eastAsia="Calibri"/>
        </w:rPr>
        <w:t>s</w:t>
      </w:r>
      <w:r w:rsidR="00853CDF" w:rsidRPr="004650E8">
        <w:rPr>
          <w:rFonts w:eastAsia="Calibri"/>
        </w:rPr>
        <w:t xml:space="preserve"> aspecto</w:t>
      </w:r>
      <w:r w:rsidR="00051BEF" w:rsidRPr="004650E8">
        <w:rPr>
          <w:rFonts w:eastAsia="Calibri"/>
        </w:rPr>
        <w:t>s</w:t>
      </w:r>
      <w:r w:rsidR="00853CDF" w:rsidRPr="004650E8">
        <w:rPr>
          <w:rFonts w:eastAsia="Calibri"/>
        </w:rPr>
        <w:t xml:space="preserve"> legal</w:t>
      </w:r>
      <w:r w:rsidR="00051BEF" w:rsidRPr="004650E8">
        <w:rPr>
          <w:rFonts w:eastAsia="Calibri"/>
        </w:rPr>
        <w:t xml:space="preserve"> e financeiro</w:t>
      </w:r>
      <w:r w:rsidR="00E11CD0" w:rsidRPr="004650E8">
        <w:rPr>
          <w:rFonts w:eastAsia="Calibri"/>
        </w:rPr>
        <w:t xml:space="preserve">, </w:t>
      </w:r>
      <w:r w:rsidR="00051BEF" w:rsidRPr="004650E8">
        <w:rPr>
          <w:rFonts w:eastAsia="Calibri"/>
        </w:rPr>
        <w:t xml:space="preserve">e emitirá </w:t>
      </w:r>
      <w:r w:rsidR="00E11CD0" w:rsidRPr="004650E8">
        <w:rPr>
          <w:rFonts w:eastAsia="Calibri"/>
        </w:rPr>
        <w:t>parecer técnico</w:t>
      </w:r>
      <w:r w:rsidR="00853CDF" w:rsidRPr="004650E8">
        <w:rPr>
          <w:rFonts w:eastAsia="Calibri"/>
        </w:rPr>
        <w:t xml:space="preserve"> </w:t>
      </w:r>
      <w:r w:rsidR="00051BEF" w:rsidRPr="004650E8">
        <w:rPr>
          <w:rFonts w:eastAsia="Calibri"/>
        </w:rPr>
        <w:t xml:space="preserve">conforme modelo no Anexo III, </w:t>
      </w:r>
      <w:r w:rsidR="00853CDF" w:rsidRPr="004650E8">
        <w:rPr>
          <w:rFonts w:eastAsia="Calibri"/>
        </w:rPr>
        <w:t>no prazo máximo de 5 (cinco) dias contados do recebimento</w:t>
      </w:r>
      <w:r w:rsidR="00051BEF" w:rsidRPr="004650E8">
        <w:rPr>
          <w:rFonts w:eastAsia="Calibri"/>
        </w:rPr>
        <w:t xml:space="preserve">. Em seguida, após aprovação, a </w:t>
      </w:r>
      <w:r w:rsidR="008F55C9" w:rsidRPr="004650E8">
        <w:rPr>
          <w:rFonts w:eastAsia="Calibri"/>
        </w:rPr>
        <w:t xml:space="preserve">referida </w:t>
      </w:r>
      <w:r w:rsidR="00051BEF" w:rsidRPr="004650E8">
        <w:rPr>
          <w:rFonts w:eastAsia="Calibri"/>
        </w:rPr>
        <w:t>Gerência encaminha</w:t>
      </w:r>
      <w:r w:rsidR="00853CDF" w:rsidRPr="004650E8">
        <w:rPr>
          <w:rFonts w:eastAsia="Calibri"/>
        </w:rPr>
        <w:t xml:space="preserve">rá </w:t>
      </w:r>
      <w:r w:rsidR="00051BEF" w:rsidRPr="004650E8">
        <w:rPr>
          <w:rFonts w:eastAsia="Calibri"/>
        </w:rPr>
        <w:t>a documentação para a empresa de co</w:t>
      </w:r>
      <w:r w:rsidRPr="004650E8">
        <w:rPr>
          <w:rFonts w:eastAsia="Calibri"/>
        </w:rPr>
        <w:t>ntabilidade p</w:t>
      </w:r>
      <w:r w:rsidR="00051BEF" w:rsidRPr="004650E8">
        <w:rPr>
          <w:rFonts w:eastAsia="Calibri"/>
        </w:rPr>
        <w:t>roceder aos devidos lançamentos</w:t>
      </w:r>
      <w:r w:rsidR="00B80EEC" w:rsidRPr="004650E8">
        <w:rPr>
          <w:rFonts w:eastAsia="Calibri"/>
        </w:rPr>
        <w:t>.</w:t>
      </w:r>
      <w:r w:rsidRPr="004650E8">
        <w:rPr>
          <w:rFonts w:eastAsia="Calibri"/>
        </w:rPr>
        <w:t xml:space="preserve"> </w:t>
      </w:r>
    </w:p>
    <w:p w14:paraId="09EDDE99" w14:textId="77777777"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2</w:t>
      </w:r>
      <w:r w:rsidR="00B80EEC" w:rsidRPr="004650E8">
        <w:rPr>
          <w:rFonts w:eastAsia="Calibri"/>
          <w:b/>
          <w:highlight w:val="white"/>
        </w:rPr>
        <w:t>7</w:t>
      </w:r>
      <w:r w:rsidRPr="004650E8">
        <w:rPr>
          <w:rFonts w:eastAsia="Calibri"/>
          <w:b/>
          <w:highlight w:val="white"/>
        </w:rPr>
        <w:t>.</w:t>
      </w:r>
      <w:r w:rsidRPr="004650E8">
        <w:rPr>
          <w:rFonts w:eastAsia="Calibri"/>
          <w:highlight w:val="white"/>
        </w:rPr>
        <w:t xml:space="preserve"> Existindo qualquer irregularidade na prestação de contas apresentada</w:t>
      </w:r>
      <w:r w:rsidR="00167FBC" w:rsidRPr="004650E8">
        <w:rPr>
          <w:rFonts w:eastAsia="Calibri"/>
          <w:highlight w:val="white"/>
        </w:rPr>
        <w:t>,</w:t>
      </w:r>
      <w:r w:rsidRPr="004650E8">
        <w:rPr>
          <w:rFonts w:eastAsia="Calibri"/>
          <w:highlight w:val="white"/>
        </w:rPr>
        <w:t xml:space="preserve"> o responsável será notificado para, no prazo de 10 (dez) dias, justificar o ato impugnado ou recolher a importância devida ao CAU/GO.</w:t>
      </w:r>
    </w:p>
    <w:p w14:paraId="05815A2B" w14:textId="77777777"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§1º</w:t>
      </w:r>
      <w:r w:rsidRPr="004650E8">
        <w:rPr>
          <w:rFonts w:eastAsia="Calibri"/>
          <w:highlight w:val="white"/>
        </w:rPr>
        <w:t xml:space="preserve"> Permanecendo a irregularidade na prestação de contas apresentada sem a devida devolução ao CAU/GO do valor em posse do suprido, será instaurado procedimento administrativo cabível. </w:t>
      </w:r>
    </w:p>
    <w:p w14:paraId="4E6CDB24" w14:textId="77777777" w:rsidR="004C1E59" w:rsidRPr="004650E8" w:rsidRDefault="00384671" w:rsidP="004650E8">
      <w:pPr>
        <w:widowControl w:val="0"/>
        <w:spacing w:line="360" w:lineRule="auto"/>
        <w:ind w:left="720"/>
        <w:jc w:val="both"/>
        <w:rPr>
          <w:rFonts w:eastAsia="Calibri"/>
        </w:rPr>
      </w:pPr>
      <w:r w:rsidRPr="004650E8">
        <w:rPr>
          <w:rFonts w:eastAsia="Calibri"/>
          <w:b/>
        </w:rPr>
        <w:t xml:space="preserve">§2° </w:t>
      </w:r>
      <w:r w:rsidRPr="004650E8">
        <w:rPr>
          <w:rFonts w:eastAsia="Calibri"/>
        </w:rPr>
        <w:t xml:space="preserve">Decorrido o prazo previsto no parágrafo anterior, novo parecer técnico será emitido e encaminhado junto com a prestação de contas à Comissão de Administração e Finanças do CAU/GO, no prazo máximo de 5 (cinco) dias, para julgamento. </w:t>
      </w:r>
    </w:p>
    <w:p w14:paraId="411FE4C5" w14:textId="77777777"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§3°</w:t>
      </w:r>
      <w:r w:rsidRPr="004650E8">
        <w:rPr>
          <w:rFonts w:eastAsia="Calibri"/>
          <w:highlight w:val="white"/>
        </w:rPr>
        <w:t xml:space="preserve"> Julgadas as contas, essas serão devolvidas para a Contabilidade do CAU/GO para proceder a baixa da responsabilidade do suprido, ou debitá-lo pelas importâncias </w:t>
      </w:r>
      <w:r w:rsidRPr="004650E8">
        <w:rPr>
          <w:rFonts w:eastAsia="Calibri"/>
          <w:highlight w:val="white"/>
        </w:rPr>
        <w:lastRenderedPageBreak/>
        <w:t xml:space="preserve">contadas irregulares. </w:t>
      </w:r>
    </w:p>
    <w:p w14:paraId="0E0CE20B" w14:textId="3138B8F3"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2</w:t>
      </w:r>
      <w:r w:rsidR="00570358" w:rsidRPr="004650E8">
        <w:rPr>
          <w:rFonts w:eastAsia="Calibri"/>
          <w:b/>
          <w:highlight w:val="white"/>
        </w:rPr>
        <w:t>8</w:t>
      </w:r>
      <w:r w:rsidRPr="004650E8">
        <w:rPr>
          <w:rFonts w:eastAsia="Calibri"/>
          <w:b/>
          <w:highlight w:val="white"/>
        </w:rPr>
        <w:t xml:space="preserve">. </w:t>
      </w:r>
      <w:r w:rsidR="003A5561" w:rsidRPr="004650E8">
        <w:rPr>
          <w:rFonts w:eastAsia="Calibri"/>
        </w:rPr>
        <w:t xml:space="preserve">A Gerência </w:t>
      </w:r>
      <w:r w:rsidR="008F55C9" w:rsidRPr="004650E8">
        <w:rPr>
          <w:rFonts w:eastAsia="Calibri"/>
        </w:rPr>
        <w:t>de Planejamento e Finanças</w:t>
      </w:r>
      <w:r w:rsidR="003A5561" w:rsidRPr="004650E8">
        <w:rPr>
          <w:rFonts w:eastAsia="Calibri"/>
        </w:rPr>
        <w:t xml:space="preserve"> </w:t>
      </w:r>
      <w:r w:rsidRPr="004650E8">
        <w:rPr>
          <w:rFonts w:eastAsia="Calibri"/>
          <w:highlight w:val="white"/>
        </w:rPr>
        <w:t>manterá em dia os registros individualizados de todos os responsáveis por suprimento de fundos, de forma a exercer perfeito controle dos prazos para respectiva prestação de contas</w:t>
      </w:r>
      <w:r w:rsidR="008F55C9" w:rsidRPr="004650E8">
        <w:rPr>
          <w:rFonts w:eastAsia="Calibri"/>
          <w:highlight w:val="white"/>
        </w:rPr>
        <w:t xml:space="preserve">, bem como dos valores limites, </w:t>
      </w:r>
      <w:r w:rsidRPr="004650E8">
        <w:rPr>
          <w:rFonts w:eastAsia="Calibri"/>
          <w:highlight w:val="white"/>
        </w:rPr>
        <w:t>nos termos do</w:t>
      </w:r>
      <w:r w:rsidR="008F55C9" w:rsidRPr="004650E8">
        <w:rPr>
          <w:rFonts w:eastAsia="Calibri"/>
          <w:highlight w:val="white"/>
        </w:rPr>
        <w:t xml:space="preserve"> inciso “f” do artigo 8º e do</w:t>
      </w:r>
      <w:r w:rsidRPr="004650E8">
        <w:rPr>
          <w:rFonts w:eastAsia="Calibri"/>
          <w:highlight w:val="white"/>
        </w:rPr>
        <w:t xml:space="preserve"> art</w:t>
      </w:r>
      <w:r w:rsidR="00115C42" w:rsidRPr="004650E8">
        <w:rPr>
          <w:rFonts w:eastAsia="Calibri"/>
          <w:highlight w:val="white"/>
        </w:rPr>
        <w:t>igo</w:t>
      </w:r>
      <w:r w:rsidRPr="004650E8">
        <w:rPr>
          <w:rFonts w:eastAsia="Calibri"/>
          <w:highlight w:val="white"/>
        </w:rPr>
        <w:t xml:space="preserve"> 12 desta Portaria. </w:t>
      </w:r>
    </w:p>
    <w:p w14:paraId="62D04884" w14:textId="6C3E686B" w:rsidR="00202971" w:rsidRPr="004650E8" w:rsidRDefault="00384671" w:rsidP="004650E8">
      <w:pPr>
        <w:widowControl w:val="0"/>
        <w:spacing w:line="360" w:lineRule="auto"/>
        <w:jc w:val="both"/>
        <w:rPr>
          <w:rFonts w:eastAsia="Calibri"/>
          <w:highlight w:val="yellow"/>
        </w:rPr>
      </w:pPr>
      <w:r w:rsidRPr="004650E8">
        <w:rPr>
          <w:rFonts w:eastAsia="Calibri"/>
          <w:b/>
        </w:rPr>
        <w:t>Art. 2</w:t>
      </w:r>
      <w:r w:rsidR="00570358" w:rsidRPr="004650E8">
        <w:rPr>
          <w:rFonts w:eastAsia="Calibri"/>
          <w:b/>
        </w:rPr>
        <w:t>9</w:t>
      </w:r>
      <w:r w:rsidRPr="004650E8">
        <w:rPr>
          <w:rFonts w:eastAsia="Calibri"/>
        </w:rPr>
        <w:t xml:space="preserve">. Caso </w:t>
      </w:r>
      <w:r w:rsidR="00115C42" w:rsidRPr="004650E8">
        <w:rPr>
          <w:rFonts w:eastAsia="Calibri"/>
        </w:rPr>
        <w:t xml:space="preserve">a prestação de contas não seja apresentada no prazo de até 5 (cinco) dias </w:t>
      </w:r>
      <w:r w:rsidR="00C94F3C" w:rsidRPr="004650E8">
        <w:rPr>
          <w:rFonts w:eastAsia="Calibri"/>
        </w:rPr>
        <w:t xml:space="preserve">úteis </w:t>
      </w:r>
      <w:r w:rsidR="00115C42" w:rsidRPr="004650E8">
        <w:rPr>
          <w:rFonts w:eastAsia="Calibri"/>
        </w:rPr>
        <w:t xml:space="preserve">após o término da utilização do suprimento de fundos, conforme determina o inciso </w:t>
      </w:r>
      <w:r w:rsidRPr="004650E8">
        <w:rPr>
          <w:rFonts w:eastAsia="Calibri"/>
        </w:rPr>
        <w:t>“f”</w:t>
      </w:r>
      <w:r w:rsidR="00115C42" w:rsidRPr="004650E8">
        <w:rPr>
          <w:rFonts w:eastAsia="Calibri"/>
        </w:rPr>
        <w:t xml:space="preserve"> do art. </w:t>
      </w:r>
      <w:r w:rsidR="00C0713E" w:rsidRPr="004650E8">
        <w:rPr>
          <w:rFonts w:eastAsia="Calibri"/>
        </w:rPr>
        <w:t>8</w:t>
      </w:r>
      <w:r w:rsidR="00115C42" w:rsidRPr="004650E8">
        <w:rPr>
          <w:rFonts w:eastAsia="Calibri"/>
        </w:rPr>
        <w:t xml:space="preserve">º desta Portaria Normativa, o ordenador de despesa </w:t>
      </w:r>
      <w:r w:rsidRPr="004650E8">
        <w:rPr>
          <w:rFonts w:eastAsia="Calibri"/>
        </w:rPr>
        <w:t xml:space="preserve">determinará a abertura de procedimento de apuração da omissão no dever de prestar contas, </w:t>
      </w:r>
      <w:r w:rsidR="00AD7952" w:rsidRPr="004650E8">
        <w:rPr>
          <w:rFonts w:eastAsia="Calibri"/>
        </w:rPr>
        <w:t xml:space="preserve">em até 5 (cinco) dias úteis, </w:t>
      </w:r>
      <w:r w:rsidRPr="004650E8">
        <w:rPr>
          <w:rFonts w:eastAsia="Calibri"/>
        </w:rPr>
        <w:t>sem prejuízo de punição disciplinar, conforme o caso.</w:t>
      </w:r>
    </w:p>
    <w:p w14:paraId="2F1E8627" w14:textId="5A939EC2" w:rsidR="00AD7952" w:rsidRPr="004650E8" w:rsidRDefault="00AD7952" w:rsidP="004650E8">
      <w:pPr>
        <w:widowControl w:val="0"/>
        <w:spacing w:line="360" w:lineRule="auto"/>
        <w:jc w:val="both"/>
        <w:rPr>
          <w:rFonts w:eastAsia="Calibri"/>
          <w:b/>
          <w:highlight w:val="white"/>
        </w:rPr>
      </w:pPr>
    </w:p>
    <w:p w14:paraId="48A5A3B6" w14:textId="1841CB3C" w:rsidR="004C1E59" w:rsidRPr="004650E8" w:rsidRDefault="00384671" w:rsidP="004650E8">
      <w:pPr>
        <w:widowControl w:val="0"/>
        <w:spacing w:line="360" w:lineRule="auto"/>
        <w:jc w:val="center"/>
        <w:rPr>
          <w:rFonts w:eastAsia="Calibri"/>
          <w:highlight w:val="white"/>
        </w:rPr>
      </w:pPr>
      <w:r w:rsidRPr="004650E8">
        <w:rPr>
          <w:rFonts w:eastAsia="Calibri"/>
          <w:b/>
          <w:highlight w:val="white"/>
        </w:rPr>
        <w:t>CAPÍTULO VI</w:t>
      </w:r>
    </w:p>
    <w:p w14:paraId="15864AF8" w14:textId="77777777" w:rsidR="004C1E59" w:rsidRPr="004650E8" w:rsidRDefault="00384671" w:rsidP="004650E8">
      <w:pPr>
        <w:widowControl w:val="0"/>
        <w:spacing w:line="360" w:lineRule="auto"/>
        <w:jc w:val="center"/>
        <w:rPr>
          <w:rFonts w:eastAsia="Calibri"/>
          <w:b/>
          <w:highlight w:val="white"/>
        </w:rPr>
      </w:pPr>
      <w:r w:rsidRPr="004650E8">
        <w:rPr>
          <w:rFonts w:eastAsia="Calibri"/>
          <w:b/>
          <w:highlight w:val="white"/>
        </w:rPr>
        <w:t>DO CARTÃO DE PAGAMENTO</w:t>
      </w:r>
    </w:p>
    <w:p w14:paraId="65B48D0A" w14:textId="77777777" w:rsidR="004650E8" w:rsidRPr="004650E8" w:rsidRDefault="004650E8" w:rsidP="004650E8">
      <w:pPr>
        <w:widowControl w:val="0"/>
        <w:spacing w:line="360" w:lineRule="auto"/>
        <w:jc w:val="center"/>
        <w:rPr>
          <w:rFonts w:eastAsia="Calibri"/>
          <w:highlight w:val="white"/>
        </w:rPr>
      </w:pPr>
    </w:p>
    <w:p w14:paraId="284A85BC" w14:textId="0FF9D522"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 xml:space="preserve">Art. </w:t>
      </w:r>
      <w:r w:rsidR="00A56F62" w:rsidRPr="004650E8">
        <w:rPr>
          <w:rFonts w:eastAsia="Calibri"/>
          <w:b/>
          <w:highlight w:val="white"/>
        </w:rPr>
        <w:t>30</w:t>
      </w:r>
      <w:r w:rsidRPr="004650E8">
        <w:rPr>
          <w:rFonts w:eastAsia="Calibri"/>
          <w:b/>
          <w:highlight w:val="white"/>
        </w:rPr>
        <w:t xml:space="preserve">. </w:t>
      </w:r>
      <w:r w:rsidR="00A56F62" w:rsidRPr="004650E8">
        <w:rPr>
          <w:rFonts w:eastAsia="Calibri"/>
          <w:highlight w:val="white"/>
        </w:rPr>
        <w:t>A</w:t>
      </w:r>
      <w:r w:rsidRPr="004650E8">
        <w:rPr>
          <w:rFonts w:eastAsia="Calibri"/>
          <w:highlight w:val="white"/>
        </w:rPr>
        <w:t xml:space="preserve"> Presid</w:t>
      </w:r>
      <w:r w:rsidR="00A56F62" w:rsidRPr="004650E8">
        <w:rPr>
          <w:rFonts w:eastAsia="Calibri"/>
          <w:highlight w:val="white"/>
        </w:rPr>
        <w:t>ência</w:t>
      </w:r>
      <w:r w:rsidRPr="004650E8">
        <w:rPr>
          <w:rFonts w:eastAsia="Calibri"/>
          <w:highlight w:val="white"/>
        </w:rPr>
        <w:t xml:space="preserve"> do CAU/GO, conforme regimento interno, é a autoridade competente para assinar, em nome do CAU/GO, bem como</w:t>
      </w:r>
      <w:r w:rsidR="003A5561" w:rsidRPr="004650E8">
        <w:rPr>
          <w:rFonts w:eastAsia="Calibri"/>
          <w:highlight w:val="white"/>
        </w:rPr>
        <w:t xml:space="preserve">, </w:t>
      </w:r>
      <w:r w:rsidR="003A5561" w:rsidRPr="004650E8">
        <w:rPr>
          <w:rFonts w:eastAsia="Carlito"/>
        </w:rPr>
        <w:t>na qualidade de ordenador de despesas,</w:t>
      </w:r>
      <w:r w:rsidRPr="004650E8">
        <w:rPr>
          <w:rFonts w:eastAsia="Calibri"/>
          <w:highlight w:val="white"/>
        </w:rPr>
        <w:t xml:space="preserve"> indicar os agentes que poderão portar o cartão de pagamento.</w:t>
      </w:r>
    </w:p>
    <w:p w14:paraId="6C9744AD" w14:textId="53AC8B18"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A56F62" w:rsidRPr="004650E8">
        <w:rPr>
          <w:rFonts w:eastAsia="Calibri"/>
          <w:b/>
          <w:highlight w:val="white"/>
        </w:rPr>
        <w:t>1</w:t>
      </w:r>
      <w:r w:rsidRPr="004650E8">
        <w:rPr>
          <w:rFonts w:eastAsia="Calibri"/>
          <w:b/>
          <w:highlight w:val="white"/>
        </w:rPr>
        <w:t>.</w:t>
      </w:r>
      <w:r w:rsidRPr="004650E8">
        <w:rPr>
          <w:rFonts w:eastAsia="Calibri"/>
          <w:highlight w:val="white"/>
        </w:rPr>
        <w:t xml:space="preserve"> O ordenador de despesas assume inteira responsabilidade pelo cumprimento das regras contratuais e demais instruções relativas ao uso do cartão de pagamento, emitido com a titularidade do CAU/GO e com a identificação do portador, bem como pelo pagamento das despesas decorrentes. </w:t>
      </w:r>
    </w:p>
    <w:p w14:paraId="68E97D9B" w14:textId="3591662E"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3A5561" w:rsidRPr="004650E8">
        <w:rPr>
          <w:rFonts w:eastAsia="Calibri"/>
          <w:b/>
          <w:highlight w:val="white"/>
        </w:rPr>
        <w:t>2</w:t>
      </w:r>
      <w:r w:rsidRPr="004650E8">
        <w:rPr>
          <w:rFonts w:eastAsia="Calibri"/>
          <w:b/>
          <w:highlight w:val="white"/>
        </w:rPr>
        <w:t>.</w:t>
      </w:r>
      <w:r w:rsidRPr="004650E8">
        <w:rPr>
          <w:rFonts w:eastAsia="Calibri"/>
          <w:highlight w:val="white"/>
        </w:rPr>
        <w:t xml:space="preserve"> Nenhuma transação com o cartão de pagamento poderá ser efetivada sem que haja saldo suficiente para o atendimento da despesa especificada na respectiva Nota de Empenho. </w:t>
      </w:r>
    </w:p>
    <w:p w14:paraId="599077A3" w14:textId="5DC5D3C0"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3A5561" w:rsidRPr="004650E8">
        <w:rPr>
          <w:rFonts w:eastAsia="Calibri"/>
          <w:b/>
          <w:highlight w:val="white"/>
        </w:rPr>
        <w:t>3</w:t>
      </w:r>
      <w:r w:rsidRPr="004650E8">
        <w:rPr>
          <w:rFonts w:eastAsia="Calibri"/>
          <w:b/>
          <w:highlight w:val="white"/>
        </w:rPr>
        <w:t>.</w:t>
      </w:r>
      <w:r w:rsidRPr="004650E8">
        <w:rPr>
          <w:rFonts w:eastAsia="Calibri"/>
          <w:highlight w:val="white"/>
        </w:rPr>
        <w:t xml:space="preserve"> O ordenador de despesas comunicará em caso de alteração dos limites de utilização estabelecidos pelo CAU/GO e para os respectivos portadores. </w:t>
      </w:r>
    </w:p>
    <w:p w14:paraId="455A8E84" w14:textId="77777777"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Parágrafo único:</w:t>
      </w:r>
      <w:r w:rsidRPr="004650E8">
        <w:rPr>
          <w:rFonts w:eastAsia="Calibri"/>
          <w:highlight w:val="white"/>
        </w:rPr>
        <w:t xml:space="preserve"> O ordenador de despesa é responsável pela autorização de uso, definição e controle de limites do cartão de pagamento que esteja sendo utilizados por agente(s) suprido(s).</w:t>
      </w:r>
    </w:p>
    <w:p w14:paraId="0C0C98C1" w14:textId="1ABF1749"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3A5561" w:rsidRPr="004650E8">
        <w:rPr>
          <w:rFonts w:eastAsia="Calibri"/>
          <w:b/>
          <w:highlight w:val="white"/>
        </w:rPr>
        <w:t>4</w:t>
      </w:r>
      <w:r w:rsidRPr="004650E8">
        <w:rPr>
          <w:rFonts w:eastAsia="Calibri"/>
          <w:b/>
          <w:highlight w:val="white"/>
        </w:rPr>
        <w:t>.</w:t>
      </w:r>
      <w:r w:rsidRPr="004650E8">
        <w:rPr>
          <w:rFonts w:eastAsia="Calibri"/>
          <w:highlight w:val="white"/>
        </w:rPr>
        <w:t xml:space="preserve"> Os pagamentos deverão ser efetivados na data da compra, exigindo-se assinatura no respectivo comprovante de venda ou realização do serviço, emitido pelo valor final da operação ou mediante imposição de senha do portador ou de assinatura eletrônica, conforme o caso.</w:t>
      </w:r>
    </w:p>
    <w:p w14:paraId="5A4CD198" w14:textId="18A09ADA"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Parágrafo único</w:t>
      </w:r>
      <w:r w:rsidR="0028312B" w:rsidRPr="004650E8">
        <w:rPr>
          <w:rFonts w:eastAsia="Calibri"/>
          <w:b/>
          <w:highlight w:val="white"/>
        </w:rPr>
        <w:t>.</w:t>
      </w:r>
      <w:r w:rsidRPr="004650E8">
        <w:rPr>
          <w:rFonts w:eastAsia="Calibri"/>
          <w:highlight w:val="white"/>
        </w:rPr>
        <w:t xml:space="preserve"> O pagamento deve ser realizado pelo valor da nota fiscal, observadas as disposições contidas na legislação vigente. </w:t>
      </w:r>
    </w:p>
    <w:p w14:paraId="4DFC362E" w14:textId="4267D7B3"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28312B" w:rsidRPr="004650E8">
        <w:rPr>
          <w:rFonts w:eastAsia="Calibri"/>
          <w:b/>
          <w:highlight w:val="white"/>
        </w:rPr>
        <w:t>5</w:t>
      </w:r>
      <w:r w:rsidRPr="004650E8">
        <w:rPr>
          <w:rFonts w:eastAsia="Calibri"/>
          <w:b/>
          <w:highlight w:val="white"/>
        </w:rPr>
        <w:t>.</w:t>
      </w:r>
      <w:r w:rsidRPr="004650E8">
        <w:rPr>
          <w:rFonts w:eastAsia="Calibri"/>
          <w:highlight w:val="white"/>
        </w:rPr>
        <w:t xml:space="preserve"> O portador do cartão de pagamento responderá pela sua guarda e uso e pela prestação de contas. </w:t>
      </w:r>
    </w:p>
    <w:p w14:paraId="5FB75954" w14:textId="5C2D96E5"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§1º</w:t>
      </w:r>
      <w:r w:rsidRPr="004650E8">
        <w:rPr>
          <w:rFonts w:eastAsia="Calibri"/>
          <w:highlight w:val="white"/>
        </w:rPr>
        <w:t xml:space="preserve"> Nos casos de roubo, furto, clonagem, perda ou extravio, caberá ao portador comunicar o ocorrido a administradora do cartão e ao ordenador de despesas.</w:t>
      </w:r>
    </w:p>
    <w:p w14:paraId="17EAC475" w14:textId="1C138A5F"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 xml:space="preserve">§2º </w:t>
      </w:r>
      <w:r w:rsidRPr="004650E8">
        <w:rPr>
          <w:rFonts w:eastAsia="Calibri"/>
          <w:highlight w:val="white"/>
        </w:rPr>
        <w:t xml:space="preserve">Deverá ainda registrar um boletim de ocorrência, </w:t>
      </w:r>
      <w:r w:rsidR="0028312B" w:rsidRPr="004650E8">
        <w:rPr>
          <w:rFonts w:eastAsia="Calibri"/>
          <w:highlight w:val="white"/>
        </w:rPr>
        <w:t xml:space="preserve">com </w:t>
      </w:r>
      <w:r w:rsidRPr="004650E8">
        <w:rPr>
          <w:rFonts w:eastAsia="Calibri"/>
          <w:highlight w:val="white"/>
        </w:rPr>
        <w:t xml:space="preserve">relato </w:t>
      </w:r>
      <w:r w:rsidR="0028312B" w:rsidRPr="004650E8">
        <w:rPr>
          <w:rFonts w:eastAsia="Calibri"/>
          <w:highlight w:val="white"/>
        </w:rPr>
        <w:t>d</w:t>
      </w:r>
      <w:r w:rsidRPr="004650E8">
        <w:rPr>
          <w:rFonts w:eastAsia="Calibri"/>
          <w:highlight w:val="white"/>
        </w:rPr>
        <w:t>o ocorrido com maior número de informações possíveis, sendo indispensável encaminhar cópias para a própria administradora ou banco emissor, bem como para os órgãos de proteção ao crédito, informando o ocorrido.</w:t>
      </w:r>
    </w:p>
    <w:p w14:paraId="247F8749" w14:textId="77777777" w:rsidR="004C1E59" w:rsidRPr="004650E8" w:rsidRDefault="00384671" w:rsidP="004650E8">
      <w:pPr>
        <w:widowControl w:val="0"/>
        <w:spacing w:line="360" w:lineRule="auto"/>
        <w:ind w:left="720"/>
        <w:jc w:val="both"/>
        <w:rPr>
          <w:rFonts w:eastAsia="Calibri"/>
          <w:highlight w:val="white"/>
        </w:rPr>
      </w:pPr>
      <w:r w:rsidRPr="004650E8">
        <w:rPr>
          <w:rFonts w:eastAsia="Calibri"/>
          <w:b/>
          <w:highlight w:val="white"/>
        </w:rPr>
        <w:t>§3º</w:t>
      </w:r>
      <w:r w:rsidRPr="004650E8">
        <w:rPr>
          <w:rFonts w:eastAsia="Calibri"/>
          <w:highlight w:val="white"/>
        </w:rPr>
        <w:t xml:space="preserve"> No ato da comunicação ao ordenador de despesas do roubo, furto, clonagem, perda </w:t>
      </w:r>
      <w:r w:rsidRPr="004650E8">
        <w:rPr>
          <w:rFonts w:eastAsia="Calibri"/>
          <w:highlight w:val="white"/>
        </w:rPr>
        <w:lastRenderedPageBreak/>
        <w:t xml:space="preserve">ou extravio, o suprido deverá fornecer a confirmação e identificação do pedido de bloqueio do cartão de pagamento assim como o boletim de ocorrência. </w:t>
      </w:r>
    </w:p>
    <w:p w14:paraId="156A6ADF" w14:textId="77777777" w:rsidR="004650E8" w:rsidRPr="004650E8" w:rsidRDefault="004650E8" w:rsidP="004650E8">
      <w:pPr>
        <w:widowControl w:val="0"/>
        <w:spacing w:line="360" w:lineRule="auto"/>
        <w:ind w:left="720"/>
        <w:jc w:val="both"/>
        <w:rPr>
          <w:rFonts w:eastAsia="Calibri"/>
          <w:highlight w:val="white"/>
        </w:rPr>
      </w:pPr>
    </w:p>
    <w:p w14:paraId="7E5F6BF1" w14:textId="382929E9" w:rsidR="004C1E59" w:rsidRPr="004650E8" w:rsidRDefault="00384671" w:rsidP="004650E8">
      <w:pPr>
        <w:widowControl w:val="0"/>
        <w:spacing w:line="360" w:lineRule="auto"/>
        <w:jc w:val="center"/>
        <w:rPr>
          <w:rFonts w:eastAsia="Calibri"/>
          <w:highlight w:val="white"/>
        </w:rPr>
      </w:pPr>
      <w:r w:rsidRPr="004650E8">
        <w:rPr>
          <w:rFonts w:eastAsia="Calibri"/>
          <w:b/>
          <w:highlight w:val="white"/>
        </w:rPr>
        <w:t>CAPÍTULO VII</w:t>
      </w:r>
    </w:p>
    <w:p w14:paraId="2DBCF290" w14:textId="77777777" w:rsidR="004C1E59" w:rsidRPr="004650E8" w:rsidRDefault="00384671" w:rsidP="004650E8">
      <w:pPr>
        <w:widowControl w:val="0"/>
        <w:spacing w:line="360" w:lineRule="auto"/>
        <w:jc w:val="center"/>
        <w:rPr>
          <w:rFonts w:eastAsia="Calibri"/>
          <w:b/>
          <w:highlight w:val="white"/>
        </w:rPr>
      </w:pPr>
      <w:r w:rsidRPr="004650E8">
        <w:rPr>
          <w:rFonts w:eastAsia="Calibri"/>
          <w:b/>
          <w:highlight w:val="white"/>
        </w:rPr>
        <w:t>DAS CONSIDERAÇÕES FINAIS</w:t>
      </w:r>
    </w:p>
    <w:p w14:paraId="5F6A7445" w14:textId="77777777" w:rsidR="004650E8" w:rsidRPr="004650E8" w:rsidRDefault="004650E8" w:rsidP="004650E8">
      <w:pPr>
        <w:widowControl w:val="0"/>
        <w:spacing w:line="360" w:lineRule="auto"/>
        <w:jc w:val="center"/>
        <w:rPr>
          <w:rFonts w:eastAsia="Calibri"/>
          <w:b/>
          <w:highlight w:val="white"/>
        </w:rPr>
      </w:pPr>
    </w:p>
    <w:p w14:paraId="096B1C27" w14:textId="74B37813"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460491" w:rsidRPr="004650E8">
        <w:rPr>
          <w:rFonts w:eastAsia="Calibri"/>
          <w:b/>
          <w:highlight w:val="white"/>
        </w:rPr>
        <w:t>6</w:t>
      </w:r>
      <w:r w:rsidRPr="004650E8">
        <w:rPr>
          <w:rFonts w:eastAsia="Calibri"/>
          <w:b/>
          <w:highlight w:val="white"/>
        </w:rPr>
        <w:t xml:space="preserve">. </w:t>
      </w:r>
      <w:r w:rsidRPr="004650E8">
        <w:rPr>
          <w:rFonts w:eastAsia="Calibri"/>
          <w:highlight w:val="white"/>
        </w:rPr>
        <w:t xml:space="preserve">Para a concessão de suprimento de fundos, a designação do suprido, a prestação de contas e a conferência serão formalizadas por meio dos formulários próprios, conforme anexos: </w:t>
      </w:r>
    </w:p>
    <w:p w14:paraId="6D23C1AF" w14:textId="0D815185" w:rsidR="004C1E59" w:rsidRPr="004650E8" w:rsidRDefault="00384671" w:rsidP="004650E8">
      <w:pPr>
        <w:pStyle w:val="PargrafodaLista"/>
        <w:numPr>
          <w:ilvl w:val="0"/>
          <w:numId w:val="10"/>
        </w:numPr>
        <w:spacing w:line="360" w:lineRule="auto"/>
        <w:ind w:left="851" w:hanging="142"/>
        <w:contextualSpacing w:val="0"/>
        <w:jc w:val="both"/>
      </w:pPr>
      <w:r w:rsidRPr="004650E8">
        <w:t>ANEXO I – Minuta de Portaria de designação de suprido;</w:t>
      </w:r>
    </w:p>
    <w:p w14:paraId="0FCA3549" w14:textId="4FCCA1C0" w:rsidR="004C1E59" w:rsidRPr="004650E8" w:rsidRDefault="00384671" w:rsidP="004650E8">
      <w:pPr>
        <w:pStyle w:val="PargrafodaLista"/>
        <w:numPr>
          <w:ilvl w:val="0"/>
          <w:numId w:val="10"/>
        </w:numPr>
        <w:spacing w:line="360" w:lineRule="auto"/>
        <w:ind w:left="851" w:hanging="142"/>
        <w:contextualSpacing w:val="0"/>
        <w:jc w:val="both"/>
      </w:pPr>
      <w:r w:rsidRPr="004650E8">
        <w:t xml:space="preserve">ANEXO II – Minuta de despacho de prestação de contas; e </w:t>
      </w:r>
    </w:p>
    <w:p w14:paraId="5B6AFBC6" w14:textId="43751852" w:rsidR="004C1E59" w:rsidRPr="004650E8" w:rsidRDefault="00384671" w:rsidP="004650E8">
      <w:pPr>
        <w:pStyle w:val="PargrafodaLista"/>
        <w:numPr>
          <w:ilvl w:val="0"/>
          <w:numId w:val="10"/>
        </w:numPr>
        <w:spacing w:line="360" w:lineRule="auto"/>
        <w:ind w:left="851" w:hanging="142"/>
        <w:contextualSpacing w:val="0"/>
        <w:jc w:val="both"/>
      </w:pPr>
      <w:r w:rsidRPr="004650E8">
        <w:t>ANEXO III – Minuta de despacho de conferência de prestação de contas.</w:t>
      </w:r>
    </w:p>
    <w:p w14:paraId="50B15AD9" w14:textId="60B2F745" w:rsidR="004C1E59" w:rsidRPr="004650E8" w:rsidRDefault="00384671" w:rsidP="004650E8">
      <w:pPr>
        <w:widowControl w:val="0"/>
        <w:spacing w:line="360" w:lineRule="auto"/>
        <w:jc w:val="both"/>
        <w:rPr>
          <w:rFonts w:eastAsia="Calibri"/>
          <w:b/>
          <w:highlight w:val="white"/>
        </w:rPr>
      </w:pPr>
      <w:r w:rsidRPr="004650E8">
        <w:rPr>
          <w:rFonts w:eastAsia="Calibri"/>
          <w:b/>
          <w:highlight w:val="white"/>
        </w:rPr>
        <w:t>Art. 3</w:t>
      </w:r>
      <w:r w:rsidR="00460491" w:rsidRPr="004650E8">
        <w:rPr>
          <w:rFonts w:eastAsia="Calibri"/>
          <w:b/>
          <w:highlight w:val="white"/>
        </w:rPr>
        <w:t>7</w:t>
      </w:r>
      <w:r w:rsidRPr="004650E8">
        <w:rPr>
          <w:rFonts w:eastAsia="Calibri"/>
          <w:b/>
          <w:highlight w:val="white"/>
        </w:rPr>
        <w:t>.</w:t>
      </w:r>
      <w:r w:rsidRPr="004650E8">
        <w:rPr>
          <w:rFonts w:eastAsia="Calibri"/>
          <w:highlight w:val="white"/>
        </w:rPr>
        <w:t xml:space="preserve"> O suprimento de fundos concedido é considerado despesas efetivas, registrando-se a responsabilidade ao empregado suprido, cuja baixa será procedida após a aprovação das contas prestadas do cartão de pagamento. </w:t>
      </w:r>
    </w:p>
    <w:p w14:paraId="2B1B9C0F" w14:textId="4C0B6B4F" w:rsidR="004C1E59" w:rsidRPr="004650E8" w:rsidRDefault="00384671" w:rsidP="004650E8">
      <w:pPr>
        <w:widowControl w:val="0"/>
        <w:spacing w:line="360" w:lineRule="auto"/>
        <w:jc w:val="both"/>
        <w:rPr>
          <w:rFonts w:eastAsia="Calibri"/>
        </w:rPr>
      </w:pPr>
      <w:r w:rsidRPr="004650E8">
        <w:rPr>
          <w:rFonts w:eastAsia="Calibri"/>
          <w:b/>
        </w:rPr>
        <w:t>Art. 3</w:t>
      </w:r>
      <w:r w:rsidR="00460491" w:rsidRPr="004650E8">
        <w:rPr>
          <w:rFonts w:eastAsia="Calibri"/>
          <w:b/>
        </w:rPr>
        <w:t>8</w:t>
      </w:r>
      <w:r w:rsidRPr="004650E8">
        <w:rPr>
          <w:rFonts w:eastAsia="Calibri"/>
          <w:b/>
        </w:rPr>
        <w:t xml:space="preserve">. </w:t>
      </w:r>
      <w:r w:rsidRPr="004650E8">
        <w:rPr>
          <w:rFonts w:eastAsia="Calibri"/>
        </w:rPr>
        <w:t>Fica revogada a Portaria CAU/GO nº 03, de 24 de fevereiro de 2014.</w:t>
      </w:r>
    </w:p>
    <w:p w14:paraId="4871C41A" w14:textId="178DF785" w:rsidR="004C1E59" w:rsidRPr="004650E8" w:rsidRDefault="00384671" w:rsidP="004650E8">
      <w:pPr>
        <w:widowControl w:val="0"/>
        <w:spacing w:line="360" w:lineRule="auto"/>
        <w:jc w:val="both"/>
        <w:rPr>
          <w:rFonts w:eastAsia="Calibri"/>
          <w:highlight w:val="white"/>
        </w:rPr>
      </w:pPr>
      <w:r w:rsidRPr="004650E8">
        <w:rPr>
          <w:rFonts w:eastAsia="Calibri"/>
          <w:b/>
          <w:highlight w:val="white"/>
        </w:rPr>
        <w:t>Art. 3</w:t>
      </w:r>
      <w:r w:rsidR="00460491" w:rsidRPr="004650E8">
        <w:rPr>
          <w:rFonts w:eastAsia="Calibri"/>
          <w:b/>
          <w:highlight w:val="white"/>
        </w:rPr>
        <w:t>9</w:t>
      </w:r>
      <w:r w:rsidRPr="004650E8">
        <w:rPr>
          <w:rFonts w:eastAsia="Calibri"/>
          <w:b/>
          <w:highlight w:val="white"/>
        </w:rPr>
        <w:t>.</w:t>
      </w:r>
      <w:r w:rsidRPr="004650E8">
        <w:rPr>
          <w:rFonts w:eastAsia="Calibri"/>
          <w:highlight w:val="white"/>
        </w:rPr>
        <w:t xml:space="preserve"> Esta Portaria entra em vigor na data de sua publicação no sítio eletrônico do CAU/GO (</w:t>
      </w:r>
      <w:hyperlink r:id="rId9">
        <w:r w:rsidRPr="004650E8">
          <w:rPr>
            <w:rFonts w:eastAsia="Calibri"/>
            <w:highlight w:val="white"/>
            <w:u w:val="single"/>
          </w:rPr>
          <w:t>www.caugo.gov.br</w:t>
        </w:r>
      </w:hyperlink>
      <w:r w:rsidRPr="004650E8">
        <w:rPr>
          <w:rFonts w:eastAsia="Calibri"/>
          <w:highlight w:val="white"/>
        </w:rPr>
        <w:t>).</w:t>
      </w:r>
    </w:p>
    <w:p w14:paraId="4F7CFFF2" w14:textId="77777777" w:rsidR="004C1E59" w:rsidRPr="004650E8" w:rsidRDefault="004C1E59" w:rsidP="004650E8">
      <w:pPr>
        <w:widowControl w:val="0"/>
        <w:spacing w:line="360" w:lineRule="auto"/>
        <w:jc w:val="both"/>
        <w:rPr>
          <w:rFonts w:eastAsia="Calibri"/>
          <w:highlight w:val="white"/>
        </w:rPr>
      </w:pPr>
    </w:p>
    <w:p w14:paraId="0973D357" w14:textId="77777777" w:rsidR="004C1E59" w:rsidRDefault="004C1E59" w:rsidP="004650E8">
      <w:pPr>
        <w:widowControl w:val="0"/>
        <w:spacing w:line="360" w:lineRule="auto"/>
        <w:jc w:val="both"/>
        <w:rPr>
          <w:rFonts w:eastAsia="Calibri"/>
          <w:highlight w:val="white"/>
        </w:rPr>
      </w:pPr>
    </w:p>
    <w:p w14:paraId="2A80E325" w14:textId="77777777" w:rsidR="004650E8" w:rsidRPr="004650E8" w:rsidRDefault="004650E8" w:rsidP="004650E8">
      <w:pPr>
        <w:widowControl w:val="0"/>
        <w:spacing w:line="360" w:lineRule="auto"/>
        <w:jc w:val="both"/>
        <w:rPr>
          <w:rFonts w:eastAsia="Calibri"/>
          <w:highlight w:val="white"/>
        </w:rPr>
      </w:pPr>
    </w:p>
    <w:p w14:paraId="3B7F5DB7" w14:textId="77777777" w:rsidR="004C1E59" w:rsidRPr="004650E8" w:rsidRDefault="004C1E59" w:rsidP="004650E8">
      <w:pPr>
        <w:widowControl w:val="0"/>
        <w:spacing w:line="360" w:lineRule="auto"/>
        <w:jc w:val="both"/>
        <w:rPr>
          <w:rFonts w:eastAsia="Calibri"/>
          <w:highlight w:val="white"/>
        </w:rPr>
      </w:pPr>
    </w:p>
    <w:p w14:paraId="203AF64C" w14:textId="2DFC5D24" w:rsidR="004C1E59" w:rsidRPr="004650E8" w:rsidRDefault="00460491" w:rsidP="004650E8">
      <w:pPr>
        <w:spacing w:line="360" w:lineRule="auto"/>
        <w:jc w:val="center"/>
        <w:rPr>
          <w:b/>
          <w:bCs/>
        </w:rPr>
      </w:pPr>
      <w:r w:rsidRPr="004650E8">
        <w:rPr>
          <w:b/>
          <w:bCs/>
        </w:rPr>
        <w:t>Simone Buiate Brandão</w:t>
      </w:r>
    </w:p>
    <w:p w14:paraId="110779A9" w14:textId="0CB1EE77" w:rsidR="004C1E59" w:rsidRPr="004650E8" w:rsidRDefault="00384671" w:rsidP="004650E8">
      <w:pPr>
        <w:spacing w:line="360" w:lineRule="auto"/>
        <w:jc w:val="center"/>
        <w:rPr>
          <w:b/>
          <w:bCs/>
        </w:rPr>
      </w:pPr>
      <w:r w:rsidRPr="004650E8">
        <w:rPr>
          <w:b/>
          <w:bCs/>
        </w:rPr>
        <w:t>Presidente</w:t>
      </w:r>
      <w:r w:rsidR="00460491" w:rsidRPr="004650E8">
        <w:rPr>
          <w:b/>
          <w:bCs/>
        </w:rPr>
        <w:t xml:space="preserve"> do</w:t>
      </w:r>
      <w:r w:rsidRPr="004650E8">
        <w:rPr>
          <w:b/>
          <w:bCs/>
        </w:rPr>
        <w:t xml:space="preserve"> CAU/GO</w:t>
      </w:r>
    </w:p>
    <w:p w14:paraId="66D2F6C6" w14:textId="77777777" w:rsidR="004C1E59" w:rsidRPr="004650E8" w:rsidRDefault="004C1E59" w:rsidP="004650E8">
      <w:pPr>
        <w:spacing w:line="360" w:lineRule="auto"/>
        <w:jc w:val="both"/>
      </w:pPr>
    </w:p>
    <w:p w14:paraId="4651F47A" w14:textId="77777777" w:rsidR="004C1E59" w:rsidRPr="004650E8" w:rsidRDefault="004C1E59" w:rsidP="004650E8">
      <w:pPr>
        <w:spacing w:line="360" w:lineRule="auto"/>
        <w:jc w:val="both"/>
      </w:pPr>
    </w:p>
    <w:p w14:paraId="511CD166" w14:textId="77777777" w:rsidR="004C1E59" w:rsidRPr="004650E8" w:rsidRDefault="004C1E59" w:rsidP="004650E8">
      <w:pPr>
        <w:spacing w:line="360" w:lineRule="auto"/>
        <w:jc w:val="both"/>
      </w:pPr>
    </w:p>
    <w:p w14:paraId="599A112B" w14:textId="77777777" w:rsidR="004C1E59" w:rsidRPr="004650E8" w:rsidRDefault="00384671" w:rsidP="004650E8">
      <w:pPr>
        <w:spacing w:line="360" w:lineRule="auto"/>
      </w:pPr>
      <w:r w:rsidRPr="004650E8">
        <w:br w:type="page"/>
      </w:r>
    </w:p>
    <w:p w14:paraId="5BD4FB51" w14:textId="77777777" w:rsidR="007D03D2" w:rsidRPr="004650E8" w:rsidRDefault="00384671" w:rsidP="004650E8">
      <w:pPr>
        <w:spacing w:line="360" w:lineRule="auto"/>
        <w:jc w:val="center"/>
        <w:rPr>
          <w:b/>
          <w:bCs/>
        </w:rPr>
      </w:pPr>
      <w:r w:rsidRPr="004650E8">
        <w:rPr>
          <w:b/>
          <w:bCs/>
        </w:rPr>
        <w:lastRenderedPageBreak/>
        <w:t>ANEXO I</w:t>
      </w:r>
    </w:p>
    <w:p w14:paraId="006AC686" w14:textId="47044A12" w:rsidR="004C1E59" w:rsidRPr="004650E8" w:rsidRDefault="00384671" w:rsidP="004650E8">
      <w:pPr>
        <w:spacing w:line="360" w:lineRule="auto"/>
        <w:jc w:val="center"/>
        <w:rPr>
          <w:b/>
          <w:bCs/>
        </w:rPr>
      </w:pPr>
      <w:r w:rsidRPr="004650E8">
        <w:rPr>
          <w:b/>
          <w:bCs/>
        </w:rPr>
        <w:t>MINUTA DE PORTARIA DE DESIGNAÇÃO DE SUPRIDO</w:t>
      </w:r>
    </w:p>
    <w:p w14:paraId="3619496C" w14:textId="4CEA63B9" w:rsidR="004C1E59" w:rsidRPr="004650E8" w:rsidRDefault="00384671" w:rsidP="004650E8">
      <w:pPr>
        <w:spacing w:line="360" w:lineRule="auto"/>
        <w:jc w:val="center"/>
        <w:rPr>
          <w:b/>
          <w:bCs/>
        </w:rPr>
      </w:pPr>
      <w:r w:rsidRPr="004650E8">
        <w:rPr>
          <w:b/>
          <w:bCs/>
        </w:rPr>
        <w:t>PORTARIA Nº XX, DE XX DE XX</w:t>
      </w:r>
      <w:r w:rsidR="007D03D2" w:rsidRPr="004650E8">
        <w:rPr>
          <w:b/>
          <w:bCs/>
        </w:rPr>
        <w:t>XXXX</w:t>
      </w:r>
      <w:r w:rsidRPr="004650E8">
        <w:rPr>
          <w:b/>
          <w:bCs/>
        </w:rPr>
        <w:t xml:space="preserve"> DE XX</w:t>
      </w:r>
      <w:r w:rsidR="007D03D2" w:rsidRPr="004650E8">
        <w:rPr>
          <w:b/>
          <w:bCs/>
        </w:rPr>
        <w:t>XX</w:t>
      </w:r>
      <w:r w:rsidRPr="004650E8">
        <w:rPr>
          <w:b/>
          <w:bCs/>
        </w:rPr>
        <w:t>.</w:t>
      </w:r>
    </w:p>
    <w:p w14:paraId="5BBEDDFE" w14:textId="77777777" w:rsidR="004C1E59" w:rsidRPr="004650E8" w:rsidRDefault="00384671" w:rsidP="004650E8">
      <w:pPr>
        <w:spacing w:line="360" w:lineRule="auto"/>
        <w:ind w:left="4535"/>
        <w:jc w:val="both"/>
        <w:rPr>
          <w:b/>
          <w:bCs/>
        </w:rPr>
      </w:pPr>
      <w:r w:rsidRPr="004650E8">
        <w:rPr>
          <w:b/>
          <w:bCs/>
        </w:rPr>
        <w:t>Designa colaborador do CAU/GO como agente suprido detentor dos recursos financeiros do Suprimento de Fundos para despesas de pequeno vulto e de pronto pagamento.</w:t>
      </w:r>
    </w:p>
    <w:p w14:paraId="44574C4A" w14:textId="77777777" w:rsidR="004C1E59" w:rsidRPr="004650E8" w:rsidRDefault="004C1E59" w:rsidP="004650E8">
      <w:pPr>
        <w:spacing w:line="360" w:lineRule="auto"/>
      </w:pPr>
    </w:p>
    <w:p w14:paraId="64169CC1" w14:textId="3D416CAD" w:rsidR="004C1E59" w:rsidRPr="004650E8" w:rsidRDefault="00384671" w:rsidP="004650E8">
      <w:pPr>
        <w:spacing w:line="360" w:lineRule="auto"/>
        <w:ind w:firstLine="720"/>
        <w:jc w:val="both"/>
      </w:pPr>
      <w:r w:rsidRPr="004650E8">
        <w:rPr>
          <w:b/>
          <w:bCs/>
        </w:rPr>
        <w:t>A PRESIDENTE DO CONSELHO DE ARQUITETURA E URBANISMO DE GOIÁS (CAU/GO)</w:t>
      </w:r>
      <w:r w:rsidRPr="004650E8">
        <w:t xml:space="preserve">, no uso das atribuições que lhe conferem o art. 35 da Lei n° 12.378, de 31 de dezembro de 2010, </w:t>
      </w:r>
      <w:r w:rsidR="00B02042" w:rsidRPr="004650E8">
        <w:t>e o art. 149 d</w:t>
      </w:r>
      <w:r w:rsidRPr="004650E8">
        <w:t>o Regimento Interno do CAU/GO</w:t>
      </w:r>
      <w:r w:rsidR="00427376" w:rsidRPr="004650E8">
        <w:t>, aprovado pela Deliberação Plenária CAU/GO nº 307, de 19 de janeiro de 2024</w:t>
      </w:r>
      <w:r w:rsidR="00B02042" w:rsidRPr="004650E8">
        <w:t>;</w:t>
      </w:r>
    </w:p>
    <w:p w14:paraId="52888B34" w14:textId="39FC2A48" w:rsidR="004C1E59" w:rsidRPr="004650E8" w:rsidRDefault="00384671" w:rsidP="004650E8">
      <w:pPr>
        <w:spacing w:line="360" w:lineRule="auto"/>
        <w:ind w:firstLine="720"/>
        <w:jc w:val="both"/>
      </w:pPr>
      <w:r w:rsidRPr="004650E8">
        <w:rPr>
          <w:b/>
          <w:bCs/>
        </w:rPr>
        <w:t>Considerando</w:t>
      </w:r>
      <w:r w:rsidRPr="004650E8">
        <w:t xml:space="preserve"> </w:t>
      </w:r>
      <w:r w:rsidR="00B02042" w:rsidRPr="004650E8">
        <w:t xml:space="preserve">a </w:t>
      </w:r>
      <w:r w:rsidRPr="004650E8">
        <w:t xml:space="preserve">Portaria Normativa CAU/GO nº </w:t>
      </w:r>
      <w:r w:rsidR="00B02042" w:rsidRPr="004650E8">
        <w:t>21</w:t>
      </w:r>
      <w:r w:rsidRPr="004650E8">
        <w:t xml:space="preserve">, </w:t>
      </w:r>
      <w:r w:rsidR="00361DA1" w:rsidRPr="004650E8">
        <w:t>de 03 de junho</w:t>
      </w:r>
      <w:r w:rsidRPr="004650E8">
        <w:t xml:space="preserve"> de 202</w:t>
      </w:r>
      <w:r w:rsidR="00B02042" w:rsidRPr="004650E8">
        <w:t>4</w:t>
      </w:r>
      <w:r w:rsidRPr="004650E8">
        <w:t xml:space="preserve">. </w:t>
      </w:r>
    </w:p>
    <w:p w14:paraId="5B5123BA" w14:textId="77777777" w:rsidR="004C1E59" w:rsidRPr="004650E8" w:rsidRDefault="004C1E59" w:rsidP="004650E8">
      <w:pPr>
        <w:spacing w:line="360" w:lineRule="auto"/>
        <w:jc w:val="both"/>
      </w:pPr>
    </w:p>
    <w:p w14:paraId="52D48E9B" w14:textId="6BDAD873" w:rsidR="004C1E59" w:rsidRPr="004650E8" w:rsidRDefault="00384671" w:rsidP="004650E8">
      <w:pPr>
        <w:spacing w:line="360" w:lineRule="auto"/>
        <w:jc w:val="both"/>
        <w:rPr>
          <w:b/>
          <w:bCs/>
        </w:rPr>
      </w:pPr>
      <w:r w:rsidRPr="004650E8">
        <w:rPr>
          <w:b/>
          <w:bCs/>
        </w:rPr>
        <w:t>RESOLVE:</w:t>
      </w:r>
    </w:p>
    <w:p w14:paraId="39CE0641" w14:textId="2C9E03F0" w:rsidR="004C1E59" w:rsidRPr="004650E8" w:rsidRDefault="00384671" w:rsidP="004650E8">
      <w:pPr>
        <w:spacing w:line="360" w:lineRule="auto"/>
        <w:jc w:val="both"/>
      </w:pPr>
      <w:r w:rsidRPr="004650E8">
        <w:rPr>
          <w:b/>
        </w:rPr>
        <w:t>Art. 1º</w:t>
      </w:r>
      <w:r w:rsidRPr="004650E8">
        <w:t xml:space="preserve"> Designar como agente suprido </w:t>
      </w:r>
      <w:r w:rsidR="00B02042" w:rsidRPr="004650E8">
        <w:t>o</w:t>
      </w:r>
      <w:r w:rsidRPr="004650E8">
        <w:t xml:space="preserve"> empregad</w:t>
      </w:r>
      <w:r w:rsidR="00B02042" w:rsidRPr="004650E8">
        <w:t>o</w:t>
      </w:r>
      <w:r w:rsidRPr="004650E8">
        <w:t xml:space="preserve"> públic</w:t>
      </w:r>
      <w:r w:rsidR="00B02042" w:rsidRPr="004650E8">
        <w:t>o</w:t>
      </w:r>
      <w:r w:rsidRPr="004650E8">
        <w:t xml:space="preserve"> ........................................., </w:t>
      </w:r>
      <w:r w:rsidR="003C0B10" w:rsidRPr="004650E8">
        <w:t xml:space="preserve">ocupante do cargo de xxxxxxx, </w:t>
      </w:r>
      <w:r w:rsidRPr="004650E8">
        <w:t>para ser detentor dos recursos financeiros do Suprimento de Fundos para despesas de pequeno vulto e de pronto pagamento, através de cartão de pagamento.</w:t>
      </w:r>
    </w:p>
    <w:p w14:paraId="41D15D20" w14:textId="5C798428" w:rsidR="004C1E59" w:rsidRPr="004650E8" w:rsidRDefault="00384671" w:rsidP="004650E8">
      <w:pPr>
        <w:spacing w:line="360" w:lineRule="auto"/>
        <w:jc w:val="both"/>
      </w:pPr>
      <w:r w:rsidRPr="004650E8">
        <w:rPr>
          <w:b/>
        </w:rPr>
        <w:t xml:space="preserve">Art. 2º </w:t>
      </w:r>
      <w:r w:rsidRPr="004650E8">
        <w:t xml:space="preserve">Compete ao agente suprido designado a aplicação dos recursos do Suprimento de Fundos, através de Cartão de Pagamento, para atender </w:t>
      </w:r>
      <w:r w:rsidR="00B02042" w:rsidRPr="004650E8">
        <w:t xml:space="preserve">as </w:t>
      </w:r>
      <w:r w:rsidRPr="004650E8">
        <w:t>despesas relacionadas ao exercício das atividades funcionais referentes às atribuições institucionais por ele exercidas no âmbito do CAU/GO.</w:t>
      </w:r>
    </w:p>
    <w:p w14:paraId="321ED0BF" w14:textId="1A5482EE" w:rsidR="004C1E59" w:rsidRPr="004650E8" w:rsidRDefault="00384671" w:rsidP="004650E8">
      <w:pPr>
        <w:spacing w:line="360" w:lineRule="auto"/>
        <w:jc w:val="both"/>
      </w:pPr>
      <w:r w:rsidRPr="004650E8">
        <w:rPr>
          <w:b/>
        </w:rPr>
        <w:t xml:space="preserve">Art. 3º </w:t>
      </w:r>
      <w:r w:rsidRPr="004650E8">
        <w:t xml:space="preserve">O valor do suprimento de fundos concedido mensalmente será de R$ </w:t>
      </w:r>
      <w:r w:rsidR="00B02042" w:rsidRPr="004650E8">
        <w:t>X</w:t>
      </w:r>
      <w:r w:rsidRPr="004650E8">
        <w:t>.</w:t>
      </w:r>
      <w:r w:rsidR="00B02042" w:rsidRPr="004650E8">
        <w:t>XXX</w:t>
      </w:r>
      <w:r w:rsidRPr="004650E8">
        <w:t>,</w:t>
      </w:r>
      <w:r w:rsidR="00B02042" w:rsidRPr="004650E8">
        <w:t>XX</w:t>
      </w:r>
      <w:r w:rsidRPr="004650E8">
        <w:t xml:space="preserve"> (</w:t>
      </w:r>
      <w:r w:rsidR="00B02042" w:rsidRPr="004650E8">
        <w:t>XXXX</w:t>
      </w:r>
      <w:r w:rsidRPr="004650E8">
        <w:t xml:space="preserve"> reais)</w:t>
      </w:r>
      <w:r w:rsidR="003C0B10" w:rsidRPr="004650E8">
        <w:t>, proveniente de recursos financeiros da conta contábil nº 6.2.2.1.1.01.04.04.027 - Despesas Miúdas de Pronto Pagamento.</w:t>
      </w:r>
    </w:p>
    <w:p w14:paraId="6A3CCEFB" w14:textId="77777777" w:rsidR="004C1E59" w:rsidRPr="004650E8" w:rsidRDefault="00384671" w:rsidP="004650E8">
      <w:pPr>
        <w:spacing w:line="360" w:lineRule="auto"/>
        <w:jc w:val="both"/>
      </w:pPr>
      <w:r w:rsidRPr="004650E8">
        <w:rPr>
          <w:b/>
        </w:rPr>
        <w:t xml:space="preserve">Art. 4º </w:t>
      </w:r>
      <w:r w:rsidRPr="004650E8">
        <w:t>O período para a utilização do Suprimento de Fundos será de 30 (trinta) dias contados a partir da data da concessão.</w:t>
      </w:r>
    </w:p>
    <w:p w14:paraId="7FA62E60" w14:textId="1EBCD811" w:rsidR="004C1E59" w:rsidRPr="004650E8" w:rsidRDefault="00384671" w:rsidP="004650E8">
      <w:pPr>
        <w:spacing w:line="360" w:lineRule="auto"/>
        <w:jc w:val="both"/>
      </w:pPr>
      <w:r w:rsidRPr="004650E8">
        <w:rPr>
          <w:b/>
        </w:rPr>
        <w:t>Art. 5º</w:t>
      </w:r>
      <w:r w:rsidRPr="004650E8">
        <w:t xml:space="preserve"> O agente suprido promoverá a prestação de contas, obrigatoriamente, em até 05 (cinco) </w:t>
      </w:r>
      <w:r w:rsidR="004650E8">
        <w:t xml:space="preserve">úteis </w:t>
      </w:r>
      <w:r w:rsidRPr="004650E8">
        <w:t>dias após o término do prazo máximo para utilização do Suprimento de Fundos.</w:t>
      </w:r>
    </w:p>
    <w:p w14:paraId="3ED77504" w14:textId="77777777" w:rsidR="004C1E59" w:rsidRPr="004650E8" w:rsidRDefault="00384671" w:rsidP="004650E8">
      <w:pPr>
        <w:spacing w:line="360" w:lineRule="auto"/>
        <w:jc w:val="both"/>
      </w:pPr>
      <w:r w:rsidRPr="004650E8">
        <w:rPr>
          <w:b/>
        </w:rPr>
        <w:t>Art. 6º</w:t>
      </w:r>
      <w:r w:rsidRPr="004650E8">
        <w:t xml:space="preserve"> Esta Portaria entra em vigor na data da sua publicação no sítio eletrônico do CAU/GO (www.caugo.gov.br), com efeitos a partir da data da sua assinatura.</w:t>
      </w:r>
    </w:p>
    <w:p w14:paraId="10188D6E" w14:textId="77777777" w:rsidR="004C1E59" w:rsidRPr="004650E8" w:rsidRDefault="00384671" w:rsidP="004650E8">
      <w:pPr>
        <w:spacing w:line="360" w:lineRule="auto"/>
        <w:jc w:val="center"/>
        <w:rPr>
          <w:b/>
        </w:rPr>
      </w:pPr>
      <w:r w:rsidRPr="004650E8">
        <w:rPr>
          <w:b/>
        </w:rPr>
        <w:t xml:space="preserve">NOME DO (A) PRESIDENTE DO CAU/GO </w:t>
      </w:r>
    </w:p>
    <w:p w14:paraId="18F662BF" w14:textId="77777777" w:rsidR="004C1E59" w:rsidRPr="004650E8" w:rsidRDefault="00384671" w:rsidP="004650E8">
      <w:pPr>
        <w:spacing w:line="360" w:lineRule="auto"/>
        <w:jc w:val="center"/>
      </w:pPr>
      <w:r w:rsidRPr="004650E8">
        <w:t xml:space="preserve">Presidente </w:t>
      </w:r>
    </w:p>
    <w:p w14:paraId="390FCD1F" w14:textId="77777777" w:rsidR="004C1E59" w:rsidRPr="004650E8" w:rsidRDefault="00384671" w:rsidP="004650E8">
      <w:pPr>
        <w:spacing w:line="360" w:lineRule="auto"/>
      </w:pPr>
      <w:r w:rsidRPr="004650E8">
        <w:br w:type="page"/>
      </w:r>
    </w:p>
    <w:p w14:paraId="2AC31082" w14:textId="77777777" w:rsidR="00B02042" w:rsidRPr="004650E8" w:rsidRDefault="00384671" w:rsidP="004650E8">
      <w:pPr>
        <w:spacing w:line="360" w:lineRule="auto"/>
        <w:jc w:val="center"/>
        <w:rPr>
          <w:b/>
          <w:bCs/>
        </w:rPr>
      </w:pPr>
      <w:r w:rsidRPr="004650E8">
        <w:rPr>
          <w:b/>
          <w:bCs/>
        </w:rPr>
        <w:lastRenderedPageBreak/>
        <w:t>ANEXO II</w:t>
      </w:r>
    </w:p>
    <w:p w14:paraId="48C52F98" w14:textId="6C03C120" w:rsidR="004C1E59" w:rsidRPr="004650E8" w:rsidRDefault="00384671" w:rsidP="004650E8">
      <w:pPr>
        <w:spacing w:line="360" w:lineRule="auto"/>
        <w:jc w:val="center"/>
        <w:rPr>
          <w:b/>
          <w:bCs/>
        </w:rPr>
      </w:pPr>
      <w:r w:rsidRPr="004650E8">
        <w:rPr>
          <w:b/>
          <w:bCs/>
        </w:rPr>
        <w:t>MINUTA DE DESPACHO DE PRESTAÇÃO DE CONTAS</w:t>
      </w:r>
    </w:p>
    <w:p w14:paraId="4FBFB82E" w14:textId="77777777" w:rsidR="004C1E59" w:rsidRPr="004650E8" w:rsidRDefault="004C1E59" w:rsidP="004650E8">
      <w:pPr>
        <w:spacing w:line="360" w:lineRule="auto"/>
        <w:jc w:val="center"/>
      </w:pPr>
    </w:p>
    <w:p w14:paraId="09098E03" w14:textId="060E99A2" w:rsidR="004C1E59" w:rsidRPr="004650E8" w:rsidRDefault="00384671" w:rsidP="004650E8">
      <w:pPr>
        <w:spacing w:line="360" w:lineRule="auto"/>
      </w:pPr>
      <w:r w:rsidRPr="004650E8">
        <w:t>Despacho nº</w:t>
      </w:r>
      <w:r w:rsidR="00284404" w:rsidRPr="004650E8">
        <w:t xml:space="preserve"> XXXXX/202X</w:t>
      </w:r>
    </w:p>
    <w:p w14:paraId="7B59B30B" w14:textId="6B5F5577" w:rsidR="004C1E59" w:rsidRPr="004650E8" w:rsidRDefault="00384671" w:rsidP="004650E8">
      <w:pPr>
        <w:spacing w:line="360" w:lineRule="auto"/>
        <w:jc w:val="right"/>
      </w:pPr>
      <w:r w:rsidRPr="004650E8">
        <w:t>Goiânia, xx, de xx de 20xx.</w:t>
      </w:r>
    </w:p>
    <w:p w14:paraId="393B0AE5" w14:textId="77777777" w:rsidR="004C1E59" w:rsidRPr="004650E8" w:rsidRDefault="004C1E59" w:rsidP="004650E8">
      <w:pPr>
        <w:spacing w:line="360" w:lineRule="auto"/>
        <w:jc w:val="right"/>
      </w:pPr>
    </w:p>
    <w:p w14:paraId="291DD5F3" w14:textId="77777777" w:rsidR="004C1E59" w:rsidRPr="004650E8" w:rsidRDefault="00384671" w:rsidP="004650E8">
      <w:pPr>
        <w:spacing w:line="360" w:lineRule="auto"/>
        <w:jc w:val="both"/>
      </w:pPr>
      <w:r w:rsidRPr="004650E8">
        <w:rPr>
          <w:b/>
          <w:bCs/>
        </w:rPr>
        <w:t>Processo nº</w:t>
      </w:r>
      <w:r w:rsidRPr="004650E8">
        <w:t>: xxxxx</w:t>
      </w:r>
    </w:p>
    <w:p w14:paraId="78A58E2F" w14:textId="77777777" w:rsidR="004C1E59" w:rsidRPr="004650E8" w:rsidRDefault="00384671" w:rsidP="004650E8">
      <w:pPr>
        <w:spacing w:line="360" w:lineRule="auto"/>
        <w:jc w:val="both"/>
        <w:rPr>
          <w:b/>
          <w:bCs/>
        </w:rPr>
      </w:pPr>
      <w:r w:rsidRPr="004650E8">
        <w:rPr>
          <w:b/>
          <w:bCs/>
        </w:rPr>
        <w:t>De:</w:t>
      </w:r>
      <w:r w:rsidRPr="004650E8">
        <w:t xml:space="preserve"> xxxxxx </w:t>
      </w:r>
    </w:p>
    <w:p w14:paraId="024CA926" w14:textId="4A85A8D4" w:rsidR="004C1E59" w:rsidRPr="004650E8" w:rsidRDefault="00384671" w:rsidP="004650E8">
      <w:pPr>
        <w:spacing w:line="360" w:lineRule="auto"/>
        <w:jc w:val="both"/>
      </w:pPr>
      <w:r w:rsidRPr="004650E8">
        <w:rPr>
          <w:b/>
          <w:bCs/>
        </w:rPr>
        <w:t>Para:</w:t>
      </w:r>
      <w:r w:rsidRPr="004650E8">
        <w:t xml:space="preserve"> Gerência </w:t>
      </w:r>
      <w:r w:rsidR="00284404" w:rsidRPr="004650E8">
        <w:t>de Administração e Recursos Humanos</w:t>
      </w:r>
      <w:r w:rsidRPr="004650E8">
        <w:t xml:space="preserve"> </w:t>
      </w:r>
    </w:p>
    <w:p w14:paraId="5201C4E3" w14:textId="77777777" w:rsidR="004C1E59" w:rsidRPr="004650E8" w:rsidRDefault="00384671" w:rsidP="004650E8">
      <w:pPr>
        <w:spacing w:line="360" w:lineRule="auto"/>
        <w:jc w:val="both"/>
      </w:pPr>
      <w:r w:rsidRPr="004650E8">
        <w:rPr>
          <w:b/>
          <w:bCs/>
        </w:rPr>
        <w:t>Ref.:</w:t>
      </w:r>
      <w:r w:rsidRPr="004650E8">
        <w:t xml:space="preserve"> Prestação de contas suprimentos do período xx/xx/xxxx a xx/xx/xxxx.   </w:t>
      </w:r>
    </w:p>
    <w:p w14:paraId="28EB0725" w14:textId="77777777" w:rsidR="004C1E59" w:rsidRPr="004650E8" w:rsidRDefault="004C1E59" w:rsidP="004650E8">
      <w:pPr>
        <w:spacing w:line="360" w:lineRule="auto"/>
        <w:jc w:val="both"/>
      </w:pPr>
    </w:p>
    <w:p w14:paraId="416F7687" w14:textId="09CCB93D" w:rsidR="00284404" w:rsidRPr="004650E8" w:rsidRDefault="00284404" w:rsidP="004650E8">
      <w:pPr>
        <w:spacing w:line="360" w:lineRule="auto"/>
        <w:ind w:firstLine="720"/>
        <w:jc w:val="both"/>
      </w:pPr>
      <w:r w:rsidRPr="004650E8">
        <w:t>Prezado</w:t>
      </w:r>
      <w:r w:rsidR="000D3664" w:rsidRPr="004650E8">
        <w:t>(a)</w:t>
      </w:r>
      <w:r w:rsidRPr="004650E8">
        <w:t xml:space="preserve"> </w:t>
      </w:r>
      <w:r w:rsidR="00384671" w:rsidRPr="004650E8">
        <w:t>Gerente,</w:t>
      </w:r>
    </w:p>
    <w:p w14:paraId="5B7DD647" w14:textId="367F01A9" w:rsidR="004C1E59" w:rsidRPr="004650E8" w:rsidRDefault="00384671" w:rsidP="004650E8">
      <w:pPr>
        <w:spacing w:line="360" w:lineRule="auto"/>
        <w:jc w:val="both"/>
      </w:pPr>
      <w:r w:rsidRPr="004650E8">
        <w:t xml:space="preserve">  </w:t>
      </w:r>
    </w:p>
    <w:p w14:paraId="059258B5" w14:textId="5A80F5D6" w:rsidR="004C1E59" w:rsidRPr="004650E8" w:rsidRDefault="00384671" w:rsidP="004650E8">
      <w:pPr>
        <w:spacing w:line="360" w:lineRule="auto"/>
        <w:ind w:firstLine="720"/>
        <w:jc w:val="both"/>
      </w:pPr>
      <w:r w:rsidRPr="004650E8">
        <w:t xml:space="preserve">Nos termos da Portaria Normativa CAU/GO nº </w:t>
      </w:r>
      <w:r w:rsidR="00174B76" w:rsidRPr="004650E8">
        <w:t>21</w:t>
      </w:r>
      <w:r w:rsidR="00284404" w:rsidRPr="004650E8">
        <w:t>,</w:t>
      </w:r>
      <w:r w:rsidRPr="004650E8">
        <w:t xml:space="preserve"> de </w:t>
      </w:r>
      <w:r w:rsidR="00174B76" w:rsidRPr="004650E8">
        <w:t>03</w:t>
      </w:r>
      <w:r w:rsidRPr="004650E8">
        <w:t xml:space="preserve"> de </w:t>
      </w:r>
      <w:r w:rsidR="00174B76" w:rsidRPr="004650E8">
        <w:t>junho</w:t>
      </w:r>
      <w:r w:rsidRPr="004650E8">
        <w:t xml:space="preserve"> de 20</w:t>
      </w:r>
      <w:r w:rsidR="00284404" w:rsidRPr="004650E8">
        <w:t>2</w:t>
      </w:r>
      <w:r w:rsidR="00174B76" w:rsidRPr="004650E8">
        <w:t>4</w:t>
      </w:r>
      <w:r w:rsidRPr="004650E8">
        <w:t xml:space="preserve">, </w:t>
      </w:r>
      <w:r w:rsidR="00284404" w:rsidRPr="004650E8">
        <w:t>que</w:t>
      </w:r>
      <w:r w:rsidRPr="004650E8">
        <w:t xml:space="preserve"> disciplina, no âmbito do Conselho de Arquitetura e Urbanismo de Goiás (CAU/GO), as pequenas compras ou prestação de serviços de pronto pagamento, segue </w:t>
      </w:r>
      <w:r w:rsidR="00E843D4" w:rsidRPr="004650E8">
        <w:t xml:space="preserve">a </w:t>
      </w:r>
      <w:r w:rsidRPr="004650E8">
        <w:t xml:space="preserve">prestação de contas referente </w:t>
      </w:r>
      <w:r w:rsidR="00284404" w:rsidRPr="004650E8">
        <w:t xml:space="preserve">aos </w:t>
      </w:r>
      <w:r w:rsidRPr="004650E8">
        <w:t>recursos do suprimento de fundos realizados no período de xx/xx/xxxx a xx/xx/xxxx.</w:t>
      </w:r>
    </w:p>
    <w:p w14:paraId="5A61D558" w14:textId="77777777" w:rsidR="004C1E59" w:rsidRPr="004650E8" w:rsidRDefault="004C1E59" w:rsidP="004650E8">
      <w:pPr>
        <w:spacing w:line="360" w:lineRule="auto"/>
        <w:jc w:val="both"/>
      </w:pPr>
    </w:p>
    <w:tbl>
      <w:tblPr>
        <w:tblStyle w:val="Style12"/>
        <w:tblW w:w="9348" w:type="dxa"/>
        <w:tblInd w:w="0" w:type="dxa"/>
        <w:tblLayout w:type="fixed"/>
        <w:tblLook w:val="04A0" w:firstRow="1" w:lastRow="0" w:firstColumn="1" w:lastColumn="0" w:noHBand="0" w:noVBand="1"/>
      </w:tblPr>
      <w:tblGrid>
        <w:gridCol w:w="985"/>
        <w:gridCol w:w="1797"/>
        <w:gridCol w:w="1890"/>
        <w:gridCol w:w="1530"/>
        <w:gridCol w:w="1587"/>
        <w:gridCol w:w="1559"/>
      </w:tblGrid>
      <w:tr w:rsidR="004650E8" w:rsidRPr="004650E8" w14:paraId="7526629A" w14:textId="77777777" w:rsidTr="00065064">
        <w:trPr>
          <w:trHeight w:val="355"/>
        </w:trPr>
        <w:tc>
          <w:tcPr>
            <w:tcW w:w="985" w:type="dxa"/>
            <w:tcBorders>
              <w:top w:val="single" w:sz="6" w:space="0" w:color="B7B7B7"/>
              <w:left w:val="single" w:sz="6" w:space="0" w:color="B7B7B7"/>
              <w:bottom w:val="single" w:sz="6" w:space="0" w:color="B7B7B7"/>
              <w:right w:val="single" w:sz="6" w:space="0" w:color="B7B7B7"/>
            </w:tcBorders>
            <w:shd w:val="clear" w:color="auto" w:fill="D9D9D9" w:themeFill="background1" w:themeFillShade="D9"/>
            <w:tcMar>
              <w:top w:w="40" w:type="dxa"/>
              <w:left w:w="40" w:type="dxa"/>
              <w:bottom w:w="40" w:type="dxa"/>
              <w:right w:w="40" w:type="dxa"/>
            </w:tcMar>
            <w:vAlign w:val="center"/>
          </w:tcPr>
          <w:p w14:paraId="6ECE846F" w14:textId="77777777" w:rsidR="004C1E59" w:rsidRPr="004650E8" w:rsidRDefault="00384671" w:rsidP="004650E8">
            <w:pPr>
              <w:widowControl w:val="0"/>
              <w:spacing w:line="360" w:lineRule="auto"/>
              <w:jc w:val="center"/>
            </w:pPr>
            <w:r w:rsidRPr="004650E8">
              <w:rPr>
                <w:b/>
              </w:rPr>
              <w:t>DATA</w:t>
            </w:r>
          </w:p>
        </w:tc>
        <w:tc>
          <w:tcPr>
            <w:tcW w:w="1797" w:type="dxa"/>
            <w:tcBorders>
              <w:top w:val="single" w:sz="6" w:space="0" w:color="B7B7B7"/>
              <w:left w:val="single" w:sz="6" w:space="0" w:color="CCCCCC"/>
              <w:bottom w:val="single" w:sz="6" w:space="0" w:color="B7B7B7"/>
              <w:right w:val="single" w:sz="6" w:space="0" w:color="B7B7B7"/>
            </w:tcBorders>
            <w:shd w:val="clear" w:color="auto" w:fill="D9D9D9" w:themeFill="background1" w:themeFillShade="D9"/>
            <w:tcMar>
              <w:top w:w="40" w:type="dxa"/>
              <w:left w:w="40" w:type="dxa"/>
              <w:bottom w:w="40" w:type="dxa"/>
              <w:right w:w="40" w:type="dxa"/>
            </w:tcMar>
            <w:vAlign w:val="center"/>
          </w:tcPr>
          <w:p w14:paraId="03BB9721" w14:textId="77777777" w:rsidR="004C1E59" w:rsidRPr="004650E8" w:rsidRDefault="00384671" w:rsidP="004650E8">
            <w:pPr>
              <w:widowControl w:val="0"/>
              <w:spacing w:line="360" w:lineRule="auto"/>
              <w:jc w:val="center"/>
            </w:pPr>
            <w:r w:rsidRPr="004650E8">
              <w:rPr>
                <w:b/>
              </w:rPr>
              <w:t>DESCRIÇÃO</w:t>
            </w:r>
          </w:p>
        </w:tc>
        <w:tc>
          <w:tcPr>
            <w:tcW w:w="1890" w:type="dxa"/>
            <w:tcBorders>
              <w:top w:val="single" w:sz="6" w:space="0" w:color="B7B7B7"/>
              <w:left w:val="single" w:sz="6" w:space="0" w:color="CCCCCC"/>
              <w:bottom w:val="single" w:sz="6" w:space="0" w:color="B7B7B7"/>
              <w:right w:val="single" w:sz="6" w:space="0" w:color="B7B7B7"/>
            </w:tcBorders>
            <w:shd w:val="clear" w:color="auto" w:fill="D9D9D9" w:themeFill="background1" w:themeFillShade="D9"/>
            <w:tcMar>
              <w:top w:w="40" w:type="dxa"/>
              <w:left w:w="40" w:type="dxa"/>
              <w:bottom w:w="40" w:type="dxa"/>
              <w:right w:w="40" w:type="dxa"/>
            </w:tcMar>
            <w:vAlign w:val="center"/>
          </w:tcPr>
          <w:p w14:paraId="4EA189C1" w14:textId="77777777" w:rsidR="004C1E59" w:rsidRPr="004650E8" w:rsidRDefault="00384671" w:rsidP="004650E8">
            <w:pPr>
              <w:widowControl w:val="0"/>
              <w:spacing w:line="360" w:lineRule="auto"/>
              <w:jc w:val="center"/>
              <w:rPr>
                <w:b/>
                <w:bCs/>
              </w:rPr>
            </w:pPr>
            <w:r w:rsidRPr="004650E8">
              <w:rPr>
                <w:b/>
                <w:bCs/>
              </w:rPr>
              <w:t>JUSTIFICATIVA</w:t>
            </w:r>
          </w:p>
        </w:tc>
        <w:tc>
          <w:tcPr>
            <w:tcW w:w="1530" w:type="dxa"/>
            <w:tcBorders>
              <w:top w:val="single" w:sz="6" w:space="0" w:color="B7B7B7"/>
              <w:left w:val="single" w:sz="6" w:space="0" w:color="CCCCCC"/>
              <w:bottom w:val="single" w:sz="6" w:space="0" w:color="B7B7B7"/>
              <w:right w:val="single" w:sz="6" w:space="0" w:color="B7B7B7"/>
            </w:tcBorders>
            <w:shd w:val="clear" w:color="auto" w:fill="D9D9D9" w:themeFill="background1" w:themeFillShade="D9"/>
            <w:tcMar>
              <w:top w:w="40" w:type="dxa"/>
              <w:left w:w="40" w:type="dxa"/>
              <w:bottom w:w="40" w:type="dxa"/>
              <w:right w:w="40" w:type="dxa"/>
            </w:tcMar>
            <w:vAlign w:val="center"/>
          </w:tcPr>
          <w:p w14:paraId="262E96DE" w14:textId="1D2D7CAB" w:rsidR="004C1E59" w:rsidRPr="004650E8" w:rsidRDefault="00384671" w:rsidP="004650E8">
            <w:pPr>
              <w:widowControl w:val="0"/>
              <w:spacing w:line="360" w:lineRule="auto"/>
              <w:jc w:val="center"/>
            </w:pPr>
            <w:r w:rsidRPr="004650E8">
              <w:rPr>
                <w:b/>
              </w:rPr>
              <w:t>NOTA FISCAL</w:t>
            </w:r>
          </w:p>
        </w:tc>
        <w:tc>
          <w:tcPr>
            <w:tcW w:w="1587" w:type="dxa"/>
            <w:tcBorders>
              <w:top w:val="single" w:sz="6" w:space="0" w:color="B7B7B7"/>
              <w:left w:val="single" w:sz="6" w:space="0" w:color="CCCCCC"/>
              <w:bottom w:val="single" w:sz="6" w:space="0" w:color="B7B7B7"/>
              <w:right w:val="single" w:sz="6" w:space="0" w:color="B7B7B7"/>
            </w:tcBorders>
            <w:shd w:val="clear" w:color="auto" w:fill="D9D9D9" w:themeFill="background1" w:themeFillShade="D9"/>
            <w:tcMar>
              <w:top w:w="40" w:type="dxa"/>
              <w:left w:w="40" w:type="dxa"/>
              <w:bottom w:w="40" w:type="dxa"/>
              <w:right w:w="40" w:type="dxa"/>
            </w:tcMar>
            <w:vAlign w:val="center"/>
          </w:tcPr>
          <w:p w14:paraId="645E8FBF" w14:textId="77777777" w:rsidR="004C1E59" w:rsidRPr="004650E8" w:rsidRDefault="00384671" w:rsidP="004650E8">
            <w:pPr>
              <w:widowControl w:val="0"/>
              <w:spacing w:line="360" w:lineRule="auto"/>
              <w:jc w:val="center"/>
            </w:pPr>
            <w:r w:rsidRPr="004650E8">
              <w:rPr>
                <w:b/>
              </w:rPr>
              <w:t>FORNECEDOR</w:t>
            </w:r>
          </w:p>
        </w:tc>
        <w:tc>
          <w:tcPr>
            <w:tcW w:w="1559" w:type="dxa"/>
            <w:tcBorders>
              <w:top w:val="single" w:sz="6" w:space="0" w:color="B7B7B7"/>
              <w:left w:val="single" w:sz="6" w:space="0" w:color="CCCCCC"/>
              <w:bottom w:val="single" w:sz="6" w:space="0" w:color="B7B7B7"/>
              <w:right w:val="single" w:sz="6" w:space="0" w:color="B7B7B7"/>
            </w:tcBorders>
            <w:shd w:val="clear" w:color="auto" w:fill="D9D9D9" w:themeFill="background1" w:themeFillShade="D9"/>
            <w:vAlign w:val="center"/>
          </w:tcPr>
          <w:p w14:paraId="1ABD8F12" w14:textId="4D88D29C" w:rsidR="004C1E59" w:rsidRPr="004650E8" w:rsidRDefault="00384671" w:rsidP="004650E8">
            <w:pPr>
              <w:widowControl w:val="0"/>
              <w:spacing w:line="360" w:lineRule="auto"/>
              <w:jc w:val="center"/>
              <w:rPr>
                <w:b/>
              </w:rPr>
            </w:pPr>
            <w:r w:rsidRPr="004650E8">
              <w:rPr>
                <w:b/>
              </w:rPr>
              <w:t>VALOR</w:t>
            </w:r>
            <w:r w:rsidR="00284404" w:rsidRPr="004650E8">
              <w:rPr>
                <w:b/>
              </w:rPr>
              <w:t xml:space="preserve"> (R$)</w:t>
            </w:r>
          </w:p>
        </w:tc>
      </w:tr>
      <w:tr w:rsidR="004650E8" w:rsidRPr="004650E8" w14:paraId="0A30B2B5" w14:textId="77777777" w:rsidTr="00065064">
        <w:trPr>
          <w:trHeight w:val="454"/>
        </w:trPr>
        <w:tc>
          <w:tcPr>
            <w:tcW w:w="985"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vAlign w:val="center"/>
          </w:tcPr>
          <w:p w14:paraId="5CA1AF92" w14:textId="77777777" w:rsidR="004C1E59" w:rsidRPr="004650E8" w:rsidRDefault="004C1E59" w:rsidP="004650E8">
            <w:pPr>
              <w:widowControl w:val="0"/>
              <w:spacing w:line="360" w:lineRule="auto"/>
              <w:jc w:val="center"/>
            </w:pPr>
          </w:p>
        </w:tc>
        <w:tc>
          <w:tcPr>
            <w:tcW w:w="1797"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41D9572B" w14:textId="77777777" w:rsidR="004C1E59" w:rsidRPr="004650E8" w:rsidRDefault="004C1E59" w:rsidP="004650E8">
            <w:pPr>
              <w:widowControl w:val="0"/>
              <w:spacing w:line="360" w:lineRule="auto"/>
              <w:jc w:val="center"/>
            </w:pPr>
          </w:p>
        </w:tc>
        <w:tc>
          <w:tcPr>
            <w:tcW w:w="1890"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49F1F260" w14:textId="77777777" w:rsidR="004C1E59" w:rsidRPr="004650E8" w:rsidRDefault="004C1E59" w:rsidP="004650E8">
            <w:pPr>
              <w:widowControl w:val="0"/>
              <w:spacing w:line="360" w:lineRule="auto"/>
              <w:jc w:val="center"/>
            </w:pPr>
          </w:p>
        </w:tc>
        <w:tc>
          <w:tcPr>
            <w:tcW w:w="1530"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61EC19F9" w14:textId="77777777" w:rsidR="004C1E59" w:rsidRPr="004650E8" w:rsidRDefault="004C1E59" w:rsidP="004650E8">
            <w:pPr>
              <w:widowControl w:val="0"/>
              <w:spacing w:line="360" w:lineRule="auto"/>
              <w:jc w:val="center"/>
            </w:pPr>
          </w:p>
        </w:tc>
        <w:tc>
          <w:tcPr>
            <w:tcW w:w="1587"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39AD6223" w14:textId="77777777" w:rsidR="004C1E59" w:rsidRPr="004650E8" w:rsidRDefault="004C1E59" w:rsidP="004650E8">
            <w:pPr>
              <w:widowControl w:val="0"/>
              <w:spacing w:line="360" w:lineRule="auto"/>
              <w:jc w:val="center"/>
            </w:pPr>
          </w:p>
        </w:tc>
        <w:tc>
          <w:tcPr>
            <w:tcW w:w="1559" w:type="dxa"/>
            <w:tcBorders>
              <w:top w:val="single" w:sz="6" w:space="0" w:color="CCCCCC"/>
              <w:left w:val="single" w:sz="6" w:space="0" w:color="CCCCCC"/>
              <w:bottom w:val="single" w:sz="6" w:space="0" w:color="B7B7B7"/>
              <w:right w:val="single" w:sz="6" w:space="0" w:color="B7B7B7"/>
            </w:tcBorders>
            <w:vAlign w:val="center"/>
          </w:tcPr>
          <w:p w14:paraId="4B9ABC25" w14:textId="77777777" w:rsidR="004C1E59" w:rsidRPr="004650E8" w:rsidRDefault="004C1E59" w:rsidP="004650E8">
            <w:pPr>
              <w:widowControl w:val="0"/>
              <w:spacing w:line="360" w:lineRule="auto"/>
              <w:jc w:val="center"/>
            </w:pPr>
          </w:p>
        </w:tc>
      </w:tr>
      <w:tr w:rsidR="004650E8" w:rsidRPr="004650E8" w14:paraId="74CDC5D9" w14:textId="77777777" w:rsidTr="00065064">
        <w:trPr>
          <w:trHeight w:val="454"/>
        </w:trPr>
        <w:tc>
          <w:tcPr>
            <w:tcW w:w="985"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vAlign w:val="center"/>
          </w:tcPr>
          <w:p w14:paraId="09448660" w14:textId="77777777" w:rsidR="004C1E59" w:rsidRPr="004650E8" w:rsidRDefault="004C1E59" w:rsidP="004650E8">
            <w:pPr>
              <w:widowControl w:val="0"/>
              <w:spacing w:line="360" w:lineRule="auto"/>
              <w:jc w:val="center"/>
            </w:pPr>
          </w:p>
        </w:tc>
        <w:tc>
          <w:tcPr>
            <w:tcW w:w="1797"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24E3C254" w14:textId="77777777" w:rsidR="004C1E59" w:rsidRPr="004650E8" w:rsidRDefault="004C1E59" w:rsidP="004650E8">
            <w:pPr>
              <w:widowControl w:val="0"/>
              <w:spacing w:line="360" w:lineRule="auto"/>
              <w:jc w:val="center"/>
            </w:pPr>
          </w:p>
        </w:tc>
        <w:tc>
          <w:tcPr>
            <w:tcW w:w="1890"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50A2E5DC" w14:textId="77777777" w:rsidR="004C1E59" w:rsidRPr="004650E8" w:rsidRDefault="004C1E59" w:rsidP="004650E8">
            <w:pPr>
              <w:widowControl w:val="0"/>
              <w:spacing w:line="360" w:lineRule="auto"/>
              <w:jc w:val="center"/>
            </w:pPr>
          </w:p>
        </w:tc>
        <w:tc>
          <w:tcPr>
            <w:tcW w:w="1530"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1458FE7E" w14:textId="77777777" w:rsidR="004C1E59" w:rsidRPr="004650E8" w:rsidRDefault="004C1E59" w:rsidP="004650E8">
            <w:pPr>
              <w:widowControl w:val="0"/>
              <w:spacing w:line="360" w:lineRule="auto"/>
              <w:jc w:val="center"/>
            </w:pPr>
          </w:p>
        </w:tc>
        <w:tc>
          <w:tcPr>
            <w:tcW w:w="1587"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vAlign w:val="center"/>
          </w:tcPr>
          <w:p w14:paraId="3527EBE2" w14:textId="77777777" w:rsidR="004C1E59" w:rsidRPr="004650E8" w:rsidRDefault="004C1E59" w:rsidP="004650E8">
            <w:pPr>
              <w:widowControl w:val="0"/>
              <w:spacing w:line="360" w:lineRule="auto"/>
              <w:jc w:val="center"/>
            </w:pPr>
          </w:p>
        </w:tc>
        <w:tc>
          <w:tcPr>
            <w:tcW w:w="1559" w:type="dxa"/>
            <w:tcBorders>
              <w:top w:val="single" w:sz="6" w:space="0" w:color="CCCCCC"/>
              <w:left w:val="single" w:sz="6" w:space="0" w:color="CCCCCC"/>
              <w:bottom w:val="single" w:sz="6" w:space="0" w:color="B7B7B7"/>
              <w:right w:val="single" w:sz="6" w:space="0" w:color="B7B7B7"/>
            </w:tcBorders>
            <w:vAlign w:val="center"/>
          </w:tcPr>
          <w:p w14:paraId="57911B36" w14:textId="77777777" w:rsidR="004C1E59" w:rsidRPr="004650E8" w:rsidRDefault="004C1E59" w:rsidP="004650E8">
            <w:pPr>
              <w:widowControl w:val="0"/>
              <w:spacing w:line="360" w:lineRule="auto"/>
              <w:jc w:val="center"/>
            </w:pPr>
          </w:p>
        </w:tc>
      </w:tr>
      <w:tr w:rsidR="004650E8" w:rsidRPr="004650E8" w14:paraId="27AD8FD8" w14:textId="77777777" w:rsidTr="00065064">
        <w:trPr>
          <w:trHeight w:val="454"/>
        </w:trPr>
        <w:tc>
          <w:tcPr>
            <w:tcW w:w="985" w:type="dxa"/>
            <w:tcBorders>
              <w:top w:val="single" w:sz="6" w:space="0" w:color="CCCCCC"/>
              <w:left w:val="single" w:sz="6" w:space="0" w:color="B7B7B7"/>
              <w:bottom w:val="single" w:sz="6" w:space="0" w:color="CCCCCC"/>
              <w:right w:val="single" w:sz="6" w:space="0" w:color="B7B7B7"/>
            </w:tcBorders>
            <w:tcMar>
              <w:top w:w="40" w:type="dxa"/>
              <w:left w:w="40" w:type="dxa"/>
              <w:bottom w:w="40" w:type="dxa"/>
              <w:right w:w="40" w:type="dxa"/>
            </w:tcMar>
            <w:vAlign w:val="center"/>
          </w:tcPr>
          <w:p w14:paraId="44A4A6C8" w14:textId="77777777" w:rsidR="00284404" w:rsidRPr="004650E8" w:rsidRDefault="00284404" w:rsidP="004650E8">
            <w:pPr>
              <w:widowControl w:val="0"/>
              <w:spacing w:line="360" w:lineRule="auto"/>
              <w:jc w:val="center"/>
            </w:pPr>
          </w:p>
        </w:tc>
        <w:tc>
          <w:tcPr>
            <w:tcW w:w="1797" w:type="dxa"/>
            <w:tcBorders>
              <w:top w:val="single" w:sz="6" w:space="0" w:color="CCCCCC"/>
              <w:left w:val="single" w:sz="6" w:space="0" w:color="CCCCCC"/>
              <w:bottom w:val="single" w:sz="6" w:space="0" w:color="CCCCCC"/>
              <w:right w:val="single" w:sz="6" w:space="0" w:color="B7B7B7"/>
            </w:tcBorders>
            <w:tcMar>
              <w:top w:w="40" w:type="dxa"/>
              <w:left w:w="40" w:type="dxa"/>
              <w:bottom w:w="40" w:type="dxa"/>
              <w:right w:w="40" w:type="dxa"/>
            </w:tcMar>
            <w:vAlign w:val="center"/>
          </w:tcPr>
          <w:p w14:paraId="7B9F2BA8" w14:textId="77777777" w:rsidR="00284404" w:rsidRPr="004650E8" w:rsidRDefault="00284404" w:rsidP="004650E8">
            <w:pPr>
              <w:widowControl w:val="0"/>
              <w:spacing w:line="360" w:lineRule="auto"/>
              <w:jc w:val="center"/>
            </w:pPr>
          </w:p>
        </w:tc>
        <w:tc>
          <w:tcPr>
            <w:tcW w:w="1890" w:type="dxa"/>
            <w:tcBorders>
              <w:top w:val="single" w:sz="6" w:space="0" w:color="CCCCCC"/>
              <w:left w:val="single" w:sz="6" w:space="0" w:color="CCCCCC"/>
              <w:bottom w:val="single" w:sz="6" w:space="0" w:color="CCCCCC"/>
              <w:right w:val="single" w:sz="6" w:space="0" w:color="B7B7B7"/>
            </w:tcBorders>
            <w:tcMar>
              <w:top w:w="40" w:type="dxa"/>
              <w:left w:w="40" w:type="dxa"/>
              <w:bottom w:w="40" w:type="dxa"/>
              <w:right w:w="40" w:type="dxa"/>
            </w:tcMar>
            <w:vAlign w:val="center"/>
          </w:tcPr>
          <w:p w14:paraId="245AC68B" w14:textId="77777777" w:rsidR="00284404" w:rsidRPr="004650E8" w:rsidRDefault="00284404" w:rsidP="004650E8">
            <w:pPr>
              <w:widowControl w:val="0"/>
              <w:spacing w:line="360" w:lineRule="auto"/>
              <w:jc w:val="center"/>
            </w:pPr>
          </w:p>
        </w:tc>
        <w:tc>
          <w:tcPr>
            <w:tcW w:w="1530" w:type="dxa"/>
            <w:tcBorders>
              <w:top w:val="single" w:sz="6" w:space="0" w:color="CCCCCC"/>
              <w:left w:val="single" w:sz="6" w:space="0" w:color="CCCCCC"/>
              <w:bottom w:val="single" w:sz="6" w:space="0" w:color="CCCCCC"/>
              <w:right w:val="single" w:sz="6" w:space="0" w:color="B7B7B7"/>
            </w:tcBorders>
            <w:tcMar>
              <w:top w:w="40" w:type="dxa"/>
              <w:left w:w="40" w:type="dxa"/>
              <w:bottom w:w="40" w:type="dxa"/>
              <w:right w:w="40" w:type="dxa"/>
            </w:tcMar>
            <w:vAlign w:val="center"/>
          </w:tcPr>
          <w:p w14:paraId="497F755F" w14:textId="77777777" w:rsidR="00284404" w:rsidRPr="004650E8" w:rsidRDefault="00284404" w:rsidP="004650E8">
            <w:pPr>
              <w:widowControl w:val="0"/>
              <w:spacing w:line="360" w:lineRule="auto"/>
              <w:jc w:val="center"/>
            </w:pPr>
          </w:p>
        </w:tc>
        <w:tc>
          <w:tcPr>
            <w:tcW w:w="1587" w:type="dxa"/>
            <w:tcBorders>
              <w:top w:val="single" w:sz="6" w:space="0" w:color="CCCCCC"/>
              <w:left w:val="single" w:sz="6" w:space="0" w:color="CCCCCC"/>
              <w:bottom w:val="single" w:sz="6" w:space="0" w:color="CCCCCC"/>
              <w:right w:val="single" w:sz="6" w:space="0" w:color="B7B7B7"/>
            </w:tcBorders>
            <w:tcMar>
              <w:top w:w="40" w:type="dxa"/>
              <w:left w:w="40" w:type="dxa"/>
              <w:bottom w:w="40" w:type="dxa"/>
              <w:right w:w="40" w:type="dxa"/>
            </w:tcMar>
            <w:vAlign w:val="center"/>
          </w:tcPr>
          <w:p w14:paraId="39C6A42A" w14:textId="77777777" w:rsidR="00284404" w:rsidRPr="004650E8" w:rsidRDefault="00284404" w:rsidP="004650E8">
            <w:pPr>
              <w:widowControl w:val="0"/>
              <w:spacing w:line="360" w:lineRule="auto"/>
              <w:jc w:val="center"/>
            </w:pPr>
          </w:p>
        </w:tc>
        <w:tc>
          <w:tcPr>
            <w:tcW w:w="1559" w:type="dxa"/>
            <w:tcBorders>
              <w:top w:val="single" w:sz="6" w:space="0" w:color="CCCCCC"/>
              <w:left w:val="single" w:sz="6" w:space="0" w:color="CCCCCC"/>
              <w:bottom w:val="single" w:sz="6" w:space="0" w:color="CCCCCC"/>
              <w:right w:val="single" w:sz="6" w:space="0" w:color="B7B7B7"/>
            </w:tcBorders>
            <w:vAlign w:val="center"/>
          </w:tcPr>
          <w:p w14:paraId="1494B341" w14:textId="77777777" w:rsidR="00284404" w:rsidRPr="004650E8" w:rsidRDefault="00284404" w:rsidP="004650E8">
            <w:pPr>
              <w:widowControl w:val="0"/>
              <w:spacing w:line="360" w:lineRule="auto"/>
              <w:jc w:val="center"/>
            </w:pPr>
          </w:p>
        </w:tc>
      </w:tr>
      <w:tr w:rsidR="004650E8" w:rsidRPr="004650E8" w14:paraId="6678B439" w14:textId="77777777" w:rsidTr="00065064">
        <w:trPr>
          <w:trHeight w:val="320"/>
        </w:trPr>
        <w:tc>
          <w:tcPr>
            <w:tcW w:w="7789" w:type="dxa"/>
            <w:gridSpan w:val="5"/>
            <w:tcBorders>
              <w:top w:val="single" w:sz="6" w:space="0" w:color="CCCCCC"/>
              <w:left w:val="single" w:sz="6" w:space="0" w:color="B7B7B7"/>
              <w:bottom w:val="single" w:sz="6" w:space="0" w:color="B7B7B7"/>
              <w:right w:val="single" w:sz="6" w:space="0" w:color="B7B7B7"/>
            </w:tcBorders>
            <w:shd w:val="clear" w:color="auto" w:fill="D9D9D9" w:themeFill="background1" w:themeFillShade="D9"/>
            <w:tcMar>
              <w:top w:w="40" w:type="dxa"/>
              <w:left w:w="40" w:type="dxa"/>
              <w:bottom w:w="40" w:type="dxa"/>
              <w:right w:w="40" w:type="dxa"/>
            </w:tcMar>
            <w:vAlign w:val="center"/>
          </w:tcPr>
          <w:p w14:paraId="152C10DE" w14:textId="77777777" w:rsidR="004C1E59" w:rsidRPr="004650E8" w:rsidRDefault="00384671" w:rsidP="004650E8">
            <w:pPr>
              <w:widowControl w:val="0"/>
              <w:spacing w:line="360" w:lineRule="auto"/>
              <w:jc w:val="center"/>
              <w:rPr>
                <w:b/>
                <w:bCs/>
              </w:rPr>
            </w:pPr>
            <w:r w:rsidRPr="004650E8">
              <w:rPr>
                <w:b/>
                <w:bCs/>
              </w:rPr>
              <w:t>TOTAL</w:t>
            </w:r>
          </w:p>
        </w:tc>
        <w:tc>
          <w:tcPr>
            <w:tcW w:w="1559" w:type="dxa"/>
            <w:tcBorders>
              <w:top w:val="single" w:sz="6" w:space="0" w:color="CCCCCC"/>
              <w:left w:val="single" w:sz="6" w:space="0" w:color="B7B7B7"/>
              <w:bottom w:val="single" w:sz="6" w:space="0" w:color="B7B7B7"/>
              <w:right w:val="single" w:sz="6" w:space="0" w:color="B7B7B7"/>
            </w:tcBorders>
            <w:shd w:val="clear" w:color="auto" w:fill="D9D9D9" w:themeFill="background1" w:themeFillShade="D9"/>
          </w:tcPr>
          <w:p w14:paraId="568FD203" w14:textId="77777777" w:rsidR="004C1E59" w:rsidRPr="004650E8" w:rsidRDefault="004C1E59" w:rsidP="004650E8">
            <w:pPr>
              <w:widowControl w:val="0"/>
              <w:spacing w:line="360" w:lineRule="auto"/>
              <w:jc w:val="center"/>
            </w:pPr>
          </w:p>
        </w:tc>
      </w:tr>
    </w:tbl>
    <w:p w14:paraId="3FA6E791" w14:textId="77777777" w:rsidR="004C1E59" w:rsidRPr="004650E8" w:rsidRDefault="004C1E59" w:rsidP="004650E8">
      <w:pPr>
        <w:spacing w:line="360" w:lineRule="auto"/>
        <w:jc w:val="center"/>
      </w:pPr>
    </w:p>
    <w:p w14:paraId="2BD277FB" w14:textId="47486774" w:rsidR="003E0CDA" w:rsidRPr="004650E8" w:rsidRDefault="003E0CDA" w:rsidP="004650E8">
      <w:pPr>
        <w:spacing w:line="360" w:lineRule="auto"/>
        <w:ind w:firstLine="720"/>
        <w:jc w:val="both"/>
      </w:pPr>
      <w:r w:rsidRPr="004650E8">
        <w:t xml:space="preserve">Declaro que foram cumpridos os requisitos estabelecidos na Portaria Normativa CAU/GO nº </w:t>
      </w:r>
      <w:r w:rsidR="00B42B8B" w:rsidRPr="004650E8">
        <w:t>21</w:t>
      </w:r>
      <w:r w:rsidRPr="004650E8">
        <w:t xml:space="preserve">, de </w:t>
      </w:r>
      <w:r w:rsidR="00B42B8B" w:rsidRPr="004650E8">
        <w:t>03</w:t>
      </w:r>
      <w:r w:rsidRPr="004650E8">
        <w:t xml:space="preserve"> de </w:t>
      </w:r>
      <w:r w:rsidR="00B42B8B" w:rsidRPr="004650E8">
        <w:t>junho</w:t>
      </w:r>
      <w:r w:rsidR="00E843D4" w:rsidRPr="004650E8">
        <w:t xml:space="preserve"> </w:t>
      </w:r>
      <w:r w:rsidRPr="004650E8">
        <w:t xml:space="preserve">de </w:t>
      </w:r>
      <w:r w:rsidR="00B42B8B" w:rsidRPr="004650E8">
        <w:t>2024</w:t>
      </w:r>
      <w:r w:rsidR="00E843D4" w:rsidRPr="004650E8">
        <w:t xml:space="preserve"> e na Portaria nº XX, de XX de XXXXX de 202X, de designação de suprido, bem como foram respeitados os valores empenhados conforme a Nota de Empenho nº XXXX.</w:t>
      </w:r>
    </w:p>
    <w:p w14:paraId="4F6A73A4" w14:textId="1016FC45" w:rsidR="00EC19A9" w:rsidRPr="004650E8" w:rsidRDefault="00EC19A9" w:rsidP="004650E8">
      <w:pPr>
        <w:spacing w:line="360" w:lineRule="auto"/>
        <w:ind w:firstLine="720"/>
        <w:jc w:val="both"/>
      </w:pPr>
      <w:r w:rsidRPr="004650E8">
        <w:t>Documentos anexos: Notas fiscais ou recibos, comprovantes de pagamento, solicitações de compras pelas demais áreas do CAU/GO</w:t>
      </w:r>
      <w:r w:rsidR="00E843D4" w:rsidRPr="004650E8">
        <w:t xml:space="preserve"> e/ou justificativas das compras</w:t>
      </w:r>
      <w:r w:rsidRPr="004650E8">
        <w:t>, comprovante do saldo de cartão de pagamento.</w:t>
      </w:r>
    </w:p>
    <w:p w14:paraId="010E7EFF" w14:textId="77777777" w:rsidR="004C1E59" w:rsidRPr="004650E8" w:rsidRDefault="004C1E59" w:rsidP="004650E8">
      <w:pPr>
        <w:spacing w:line="360" w:lineRule="auto"/>
        <w:jc w:val="center"/>
        <w:rPr>
          <w:b/>
        </w:rPr>
      </w:pPr>
    </w:p>
    <w:p w14:paraId="0D1342C3" w14:textId="77777777" w:rsidR="003E0CDA" w:rsidRPr="004650E8" w:rsidRDefault="003E0CDA" w:rsidP="004650E8">
      <w:pPr>
        <w:spacing w:line="360" w:lineRule="auto"/>
        <w:jc w:val="center"/>
        <w:rPr>
          <w:b/>
        </w:rPr>
      </w:pPr>
    </w:p>
    <w:p w14:paraId="6AB6344C" w14:textId="77777777" w:rsidR="003E0CDA" w:rsidRPr="004650E8" w:rsidRDefault="003E0CDA" w:rsidP="004650E8">
      <w:pPr>
        <w:spacing w:line="360" w:lineRule="auto"/>
        <w:jc w:val="center"/>
        <w:rPr>
          <w:b/>
        </w:rPr>
      </w:pPr>
    </w:p>
    <w:p w14:paraId="6C53451E" w14:textId="77777777" w:rsidR="00284404" w:rsidRPr="004650E8" w:rsidRDefault="00284404" w:rsidP="004650E8">
      <w:pPr>
        <w:spacing w:line="360" w:lineRule="auto"/>
        <w:jc w:val="center"/>
        <w:rPr>
          <w:b/>
        </w:rPr>
      </w:pPr>
    </w:p>
    <w:p w14:paraId="242A9D88" w14:textId="77777777" w:rsidR="004C1E59" w:rsidRPr="004650E8" w:rsidRDefault="00384671" w:rsidP="004650E8">
      <w:pPr>
        <w:spacing w:line="360" w:lineRule="auto"/>
        <w:jc w:val="center"/>
        <w:rPr>
          <w:b/>
        </w:rPr>
      </w:pPr>
      <w:r w:rsidRPr="004650E8">
        <w:rPr>
          <w:b/>
        </w:rPr>
        <w:t>NOME COMPLETO DO SUPRIDO</w:t>
      </w:r>
    </w:p>
    <w:p w14:paraId="11EA3A49" w14:textId="77777777" w:rsidR="004C1E59" w:rsidRPr="004650E8" w:rsidRDefault="00384671" w:rsidP="004650E8">
      <w:pPr>
        <w:spacing w:line="360" w:lineRule="auto"/>
        <w:jc w:val="center"/>
      </w:pPr>
      <w:r w:rsidRPr="004650E8">
        <w:t xml:space="preserve"> Portaria de designação do suprido</w:t>
      </w:r>
    </w:p>
    <w:p w14:paraId="61CAB342" w14:textId="77777777" w:rsidR="004C1E59" w:rsidRPr="004650E8" w:rsidRDefault="00384671" w:rsidP="004650E8">
      <w:pPr>
        <w:spacing w:line="360" w:lineRule="auto"/>
        <w:jc w:val="center"/>
      </w:pPr>
      <w:r w:rsidRPr="004650E8">
        <w:lastRenderedPageBreak/>
        <w:t xml:space="preserve"> Sigla da unidade de lotação do suprido – CAU/GO</w:t>
      </w:r>
    </w:p>
    <w:p w14:paraId="384BDE08" w14:textId="435E96BD" w:rsidR="004650E8" w:rsidRDefault="004650E8">
      <w:pPr>
        <w:spacing w:line="240" w:lineRule="auto"/>
      </w:pPr>
      <w:r>
        <w:br w:type="page"/>
      </w:r>
    </w:p>
    <w:p w14:paraId="27025837" w14:textId="77777777" w:rsidR="003E0CDA" w:rsidRPr="004650E8" w:rsidRDefault="00384671" w:rsidP="004650E8">
      <w:pPr>
        <w:spacing w:line="360" w:lineRule="auto"/>
        <w:jc w:val="center"/>
        <w:rPr>
          <w:b/>
          <w:bCs/>
        </w:rPr>
      </w:pPr>
      <w:r w:rsidRPr="004650E8">
        <w:rPr>
          <w:b/>
          <w:bCs/>
        </w:rPr>
        <w:t>ANEXO III</w:t>
      </w:r>
    </w:p>
    <w:p w14:paraId="1E332CD4" w14:textId="3572EB81" w:rsidR="004C1E59" w:rsidRPr="004650E8" w:rsidRDefault="00384671" w:rsidP="004650E8">
      <w:pPr>
        <w:spacing w:line="360" w:lineRule="auto"/>
        <w:jc w:val="center"/>
        <w:rPr>
          <w:b/>
          <w:bCs/>
        </w:rPr>
      </w:pPr>
      <w:r w:rsidRPr="004650E8">
        <w:rPr>
          <w:b/>
          <w:bCs/>
        </w:rPr>
        <w:t xml:space="preserve">MINUTA DE DESPACHO DE CONFERÊNCIA DE PRESTAÇÃO DE CONTAS </w:t>
      </w:r>
    </w:p>
    <w:p w14:paraId="2C4B832E" w14:textId="77777777" w:rsidR="004C1E59" w:rsidRPr="004650E8" w:rsidRDefault="004C1E59" w:rsidP="004650E8">
      <w:pPr>
        <w:spacing w:line="360" w:lineRule="auto"/>
        <w:jc w:val="center"/>
      </w:pPr>
    </w:p>
    <w:p w14:paraId="60D68E4B" w14:textId="77777777" w:rsidR="00472CF2" w:rsidRPr="004650E8" w:rsidRDefault="00472CF2" w:rsidP="004650E8">
      <w:pPr>
        <w:spacing w:line="360" w:lineRule="auto"/>
        <w:jc w:val="both"/>
      </w:pPr>
    </w:p>
    <w:p w14:paraId="67F43E18" w14:textId="7D0FC3C6" w:rsidR="004C1E59" w:rsidRPr="004650E8" w:rsidRDefault="00384671" w:rsidP="004650E8">
      <w:pPr>
        <w:spacing w:line="360" w:lineRule="auto"/>
        <w:jc w:val="both"/>
      </w:pPr>
      <w:r w:rsidRPr="004650E8">
        <w:t xml:space="preserve">Despacho nº </w:t>
      </w:r>
      <w:r w:rsidR="003E0CDA" w:rsidRPr="004650E8">
        <w:t>xxxx/xxxx</w:t>
      </w:r>
    </w:p>
    <w:p w14:paraId="28E18B41" w14:textId="77777777" w:rsidR="006A1685" w:rsidRPr="004650E8" w:rsidRDefault="006A1685" w:rsidP="004650E8">
      <w:pPr>
        <w:spacing w:line="360" w:lineRule="auto"/>
        <w:jc w:val="both"/>
      </w:pPr>
    </w:p>
    <w:p w14:paraId="1FFF1C60" w14:textId="77777777" w:rsidR="004C1E59" w:rsidRPr="004650E8" w:rsidRDefault="00384671" w:rsidP="004650E8">
      <w:pPr>
        <w:spacing w:line="360" w:lineRule="auto"/>
        <w:jc w:val="right"/>
      </w:pPr>
      <w:r w:rsidRPr="004650E8">
        <w:t xml:space="preserve">Goiânia, xx, de xx de 20xx.  </w:t>
      </w:r>
    </w:p>
    <w:p w14:paraId="18F059CE" w14:textId="77777777" w:rsidR="004C1E59" w:rsidRPr="004650E8" w:rsidRDefault="004C1E59" w:rsidP="004650E8">
      <w:pPr>
        <w:spacing w:line="360" w:lineRule="auto"/>
        <w:jc w:val="both"/>
      </w:pPr>
    </w:p>
    <w:p w14:paraId="62B28F50" w14:textId="77777777" w:rsidR="004C1E59" w:rsidRPr="004650E8" w:rsidRDefault="00384671" w:rsidP="004650E8">
      <w:pPr>
        <w:spacing w:line="360" w:lineRule="auto"/>
        <w:jc w:val="both"/>
      </w:pPr>
      <w:r w:rsidRPr="004650E8">
        <w:rPr>
          <w:b/>
          <w:bCs/>
        </w:rPr>
        <w:t>Processo nº</w:t>
      </w:r>
      <w:r w:rsidRPr="004650E8">
        <w:t xml:space="preserve">:  </w:t>
      </w:r>
    </w:p>
    <w:p w14:paraId="7730E6D2" w14:textId="77777777" w:rsidR="004C1E59" w:rsidRPr="004650E8" w:rsidRDefault="00384671" w:rsidP="004650E8">
      <w:pPr>
        <w:spacing w:line="360" w:lineRule="auto"/>
        <w:jc w:val="both"/>
      </w:pPr>
      <w:r w:rsidRPr="004650E8">
        <w:rPr>
          <w:b/>
        </w:rPr>
        <w:t>De</w:t>
      </w:r>
      <w:r w:rsidRPr="004650E8">
        <w:t xml:space="preserve">: </w:t>
      </w:r>
    </w:p>
    <w:p w14:paraId="2A1402AC" w14:textId="77777777" w:rsidR="004C1E59" w:rsidRPr="004650E8" w:rsidRDefault="00384671" w:rsidP="004650E8">
      <w:pPr>
        <w:spacing w:line="360" w:lineRule="auto"/>
        <w:jc w:val="both"/>
        <w:rPr>
          <w:b/>
          <w:bCs/>
        </w:rPr>
      </w:pPr>
      <w:r w:rsidRPr="004650E8">
        <w:rPr>
          <w:b/>
          <w:bCs/>
        </w:rPr>
        <w:t xml:space="preserve">Para:  </w:t>
      </w:r>
    </w:p>
    <w:p w14:paraId="5CB7480A" w14:textId="77777777" w:rsidR="004C1E59" w:rsidRPr="004650E8" w:rsidRDefault="00384671" w:rsidP="004650E8">
      <w:pPr>
        <w:spacing w:line="360" w:lineRule="auto"/>
        <w:jc w:val="both"/>
      </w:pPr>
      <w:r w:rsidRPr="004650E8">
        <w:rPr>
          <w:b/>
          <w:bCs/>
        </w:rPr>
        <w:t>Ref.:</w:t>
      </w:r>
      <w:r w:rsidRPr="004650E8">
        <w:t xml:space="preserve"> Conferência da prestação de contas suprimentos do período xx/xx/xxxx a xx/xx/xxxx.   </w:t>
      </w:r>
    </w:p>
    <w:p w14:paraId="7E539360" w14:textId="77777777" w:rsidR="004C1E59" w:rsidRPr="004650E8" w:rsidRDefault="004C1E59" w:rsidP="004650E8">
      <w:pPr>
        <w:spacing w:line="360" w:lineRule="auto"/>
        <w:jc w:val="both"/>
      </w:pPr>
    </w:p>
    <w:p w14:paraId="24BA739D" w14:textId="77777777" w:rsidR="000D3664" w:rsidRPr="004650E8" w:rsidRDefault="000D3664" w:rsidP="004650E8">
      <w:pPr>
        <w:spacing w:line="360" w:lineRule="auto"/>
        <w:ind w:left="720"/>
        <w:jc w:val="both"/>
      </w:pPr>
    </w:p>
    <w:p w14:paraId="6749D1B8" w14:textId="0C5B46DE" w:rsidR="004C1E59" w:rsidRPr="004650E8" w:rsidRDefault="000D3664" w:rsidP="004650E8">
      <w:pPr>
        <w:spacing w:line="360" w:lineRule="auto"/>
        <w:ind w:left="720"/>
        <w:jc w:val="both"/>
      </w:pPr>
      <w:r w:rsidRPr="004650E8">
        <w:t xml:space="preserve">Prezado(a) </w:t>
      </w:r>
      <w:r w:rsidR="00384671" w:rsidRPr="004650E8">
        <w:t>agente suprido,</w:t>
      </w:r>
    </w:p>
    <w:p w14:paraId="15FF65D3" w14:textId="77777777" w:rsidR="004C1E59" w:rsidRPr="004650E8" w:rsidRDefault="004C1E59" w:rsidP="004650E8">
      <w:pPr>
        <w:spacing w:line="360" w:lineRule="auto"/>
        <w:jc w:val="both"/>
      </w:pPr>
    </w:p>
    <w:p w14:paraId="01F20B4D" w14:textId="10AE87C1" w:rsidR="004C1E59" w:rsidRPr="004650E8" w:rsidRDefault="006A1685" w:rsidP="004650E8">
      <w:pPr>
        <w:spacing w:line="360" w:lineRule="auto"/>
        <w:ind w:firstLine="720"/>
        <w:jc w:val="both"/>
      </w:pPr>
      <w:r w:rsidRPr="004650E8">
        <w:t xml:space="preserve">Após análise da prestação de contas encaminhada, com verificação de: 1) </w:t>
      </w:r>
      <w:r w:rsidR="00384671" w:rsidRPr="004650E8">
        <w:t>despesas quanto a natureza e ao elemento de despesa autorizado</w:t>
      </w:r>
      <w:r w:rsidRPr="004650E8">
        <w:t>;</w:t>
      </w:r>
      <w:r w:rsidR="00384671" w:rsidRPr="004650E8">
        <w:t xml:space="preserve"> </w:t>
      </w:r>
      <w:r w:rsidRPr="004650E8">
        <w:t xml:space="preserve">2) notas fiscais e recibos; 3)  comprovantes de pagamento; 4) justificativas e solicitações das compras e/ou dos serviços; 5)  </w:t>
      </w:r>
      <w:r w:rsidR="00384671" w:rsidRPr="004650E8">
        <w:t xml:space="preserve">período </w:t>
      </w:r>
      <w:r w:rsidRPr="004650E8">
        <w:t xml:space="preserve">de realização das despesas; 6) prazo de prestação de contas; </w:t>
      </w:r>
      <w:r w:rsidR="00384671" w:rsidRPr="004650E8">
        <w:t xml:space="preserve">não se constatando qualquer tipo de impropriedade ou inconformidade com a Portaria Normativa CAU/GO nº </w:t>
      </w:r>
      <w:r w:rsidR="0056169E" w:rsidRPr="004650E8">
        <w:t>21</w:t>
      </w:r>
      <w:r w:rsidR="00384671" w:rsidRPr="004650E8">
        <w:t xml:space="preserve">, de </w:t>
      </w:r>
      <w:r w:rsidR="0056169E" w:rsidRPr="004650E8">
        <w:t>03</w:t>
      </w:r>
      <w:r w:rsidR="00384671" w:rsidRPr="004650E8">
        <w:t xml:space="preserve"> de </w:t>
      </w:r>
      <w:r w:rsidR="0056169E" w:rsidRPr="004650E8">
        <w:t>junho</w:t>
      </w:r>
      <w:r w:rsidR="00384671" w:rsidRPr="004650E8">
        <w:t xml:space="preserve"> de 20</w:t>
      </w:r>
      <w:r w:rsidR="00662F69" w:rsidRPr="004650E8">
        <w:t>2</w:t>
      </w:r>
      <w:r w:rsidR="0056169E" w:rsidRPr="004650E8">
        <w:t>4</w:t>
      </w:r>
      <w:r w:rsidR="00384671" w:rsidRPr="004650E8">
        <w:t>, aprovo a prestação de contas apresentada.</w:t>
      </w:r>
    </w:p>
    <w:p w14:paraId="3DA82C90" w14:textId="77777777" w:rsidR="004C1E59" w:rsidRPr="004650E8" w:rsidRDefault="004C1E59" w:rsidP="004650E8">
      <w:pPr>
        <w:spacing w:line="360" w:lineRule="auto"/>
        <w:ind w:firstLine="720"/>
      </w:pPr>
    </w:p>
    <w:p w14:paraId="77C274DE" w14:textId="77777777" w:rsidR="004C1E59" w:rsidRPr="004650E8" w:rsidRDefault="004C1E59" w:rsidP="004650E8">
      <w:pPr>
        <w:spacing w:line="360" w:lineRule="auto"/>
        <w:ind w:firstLine="720"/>
      </w:pPr>
    </w:p>
    <w:p w14:paraId="7A0A5059" w14:textId="77777777" w:rsidR="004C1E59" w:rsidRPr="004650E8" w:rsidRDefault="004C1E59" w:rsidP="004650E8">
      <w:pPr>
        <w:spacing w:line="360" w:lineRule="auto"/>
        <w:ind w:firstLine="720"/>
      </w:pPr>
    </w:p>
    <w:p w14:paraId="78B94F27" w14:textId="77777777" w:rsidR="004C1E59" w:rsidRPr="004650E8" w:rsidRDefault="004C1E59" w:rsidP="004650E8">
      <w:pPr>
        <w:spacing w:line="360" w:lineRule="auto"/>
        <w:rPr>
          <w:b/>
        </w:rPr>
      </w:pPr>
    </w:p>
    <w:p w14:paraId="781E8FDD" w14:textId="5C35195B" w:rsidR="004C1E59" w:rsidRPr="004650E8" w:rsidRDefault="00384671" w:rsidP="004650E8">
      <w:pPr>
        <w:spacing w:line="360" w:lineRule="auto"/>
        <w:jc w:val="center"/>
        <w:rPr>
          <w:b/>
        </w:rPr>
      </w:pPr>
      <w:r w:rsidRPr="004650E8">
        <w:rPr>
          <w:b/>
        </w:rPr>
        <w:t>NOME COMPLETO DO</w:t>
      </w:r>
      <w:r w:rsidR="003213C1" w:rsidRPr="004650E8">
        <w:rPr>
          <w:b/>
        </w:rPr>
        <w:t>(A)</w:t>
      </w:r>
      <w:r w:rsidRPr="004650E8">
        <w:rPr>
          <w:b/>
        </w:rPr>
        <w:t xml:space="preserve"> GERENTE </w:t>
      </w:r>
    </w:p>
    <w:p w14:paraId="13214263" w14:textId="1E521CB2" w:rsidR="004C1E59" w:rsidRPr="004650E8" w:rsidRDefault="00384671" w:rsidP="004650E8">
      <w:pPr>
        <w:spacing w:line="360" w:lineRule="auto"/>
        <w:jc w:val="center"/>
      </w:pPr>
      <w:r w:rsidRPr="004650E8">
        <w:t xml:space="preserve">Gerência </w:t>
      </w:r>
      <w:r w:rsidR="00662F69" w:rsidRPr="004650E8">
        <w:t>de Planejamento e Finanças</w:t>
      </w:r>
      <w:r w:rsidRPr="004650E8">
        <w:t xml:space="preserve"> </w:t>
      </w:r>
    </w:p>
    <w:sectPr w:rsidR="004C1E59" w:rsidRPr="004650E8" w:rsidSect="001F6414">
      <w:headerReference w:type="default" r:id="rId10"/>
      <w:footerReference w:type="default" r:id="rId11"/>
      <w:pgSz w:w="11906" w:h="16838" w:code="9"/>
      <w:pgMar w:top="2098" w:right="1304" w:bottom="1134"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DC45" w14:textId="77777777" w:rsidR="0006157F" w:rsidRDefault="0006157F">
      <w:pPr>
        <w:spacing w:line="240" w:lineRule="auto"/>
      </w:pPr>
      <w:r>
        <w:separator/>
      </w:r>
    </w:p>
  </w:endnote>
  <w:endnote w:type="continuationSeparator" w:id="0">
    <w:p w14:paraId="11AC043A" w14:textId="77777777" w:rsidR="0006157F" w:rsidRDefault="00061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25DC" w14:textId="42F0F202" w:rsidR="004C1E59" w:rsidRDefault="00C734D9">
    <w:pPr>
      <w:pStyle w:val="Rodap"/>
      <w:ind w:left="-1440"/>
    </w:pPr>
    <w:r>
      <w:rPr>
        <w:noProof/>
      </w:rPr>
      <w:drawing>
        <wp:anchor distT="0" distB="0" distL="114300" distR="114300" simplePos="0" relativeHeight="251662336" behindDoc="1" locked="0" layoutInCell="1" allowOverlap="1" wp14:anchorId="308118BC" wp14:editId="0DDFA9FA">
          <wp:simplePos x="0" y="0"/>
          <wp:positionH relativeFrom="page">
            <wp:posOffset>38100</wp:posOffset>
          </wp:positionH>
          <wp:positionV relativeFrom="paragraph">
            <wp:posOffset>-394970</wp:posOffset>
          </wp:positionV>
          <wp:extent cx="7495430" cy="769620"/>
          <wp:effectExtent l="0" t="0" r="0" b="0"/>
          <wp:wrapThrough wrapText="bothSides">
            <wp:wrapPolygon edited="0">
              <wp:start x="0" y="0"/>
              <wp:lineTo x="0" y="1069"/>
              <wp:lineTo x="1318" y="8554"/>
              <wp:lineTo x="1318" y="11228"/>
              <wp:lineTo x="8070" y="17109"/>
              <wp:lineTo x="0" y="20317"/>
              <wp:lineTo x="0" y="20851"/>
              <wp:lineTo x="21521" y="20851"/>
              <wp:lineTo x="21521" y="20317"/>
              <wp:lineTo x="10706" y="17109"/>
              <wp:lineTo x="8125" y="8554"/>
              <wp:lineTo x="21521" y="5347"/>
              <wp:lineTo x="21521" y="0"/>
              <wp:lineTo x="0" y="0"/>
            </wp:wrapPolygon>
          </wp:wrapThrough>
          <wp:docPr id="11866215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5430" cy="769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847C" w14:textId="77777777" w:rsidR="0006157F" w:rsidRDefault="0006157F">
      <w:r>
        <w:separator/>
      </w:r>
    </w:p>
  </w:footnote>
  <w:footnote w:type="continuationSeparator" w:id="0">
    <w:p w14:paraId="7C4AF810" w14:textId="77777777" w:rsidR="0006157F" w:rsidRDefault="0006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E644" w14:textId="6EEAA317" w:rsidR="004C1E59" w:rsidRDefault="00C734D9">
    <w:pPr>
      <w:tabs>
        <w:tab w:val="center" w:pos="4252"/>
        <w:tab w:val="right" w:pos="8504"/>
      </w:tabs>
      <w:rPr>
        <w:color w:val="000000"/>
      </w:rPr>
    </w:pPr>
    <w:r>
      <w:rPr>
        <w:noProof/>
      </w:rPr>
      <w:drawing>
        <wp:anchor distT="0" distB="0" distL="114300" distR="114300" simplePos="0" relativeHeight="251661312" behindDoc="1" locked="0" layoutInCell="1" allowOverlap="1" wp14:anchorId="3A7F8F55" wp14:editId="142DD08E">
          <wp:simplePos x="0" y="0"/>
          <wp:positionH relativeFrom="margin">
            <wp:posOffset>-847090</wp:posOffset>
          </wp:positionH>
          <wp:positionV relativeFrom="paragraph">
            <wp:posOffset>-53340</wp:posOffset>
          </wp:positionV>
          <wp:extent cx="7454900" cy="1188720"/>
          <wp:effectExtent l="0" t="0" r="0" b="0"/>
          <wp:wrapThrough wrapText="bothSides">
            <wp:wrapPolygon edited="0">
              <wp:start x="0" y="0"/>
              <wp:lineTo x="0" y="346"/>
              <wp:lineTo x="10763" y="5538"/>
              <wp:lineTo x="2649" y="7269"/>
              <wp:lineTo x="1545" y="7962"/>
              <wp:lineTo x="1490" y="16615"/>
              <wp:lineTo x="0" y="19038"/>
              <wp:lineTo x="0" y="20423"/>
              <wp:lineTo x="2042" y="21115"/>
              <wp:lineTo x="3091" y="21115"/>
              <wp:lineTo x="21526" y="20423"/>
              <wp:lineTo x="21526" y="19038"/>
              <wp:lineTo x="14406" y="16615"/>
              <wp:lineTo x="14848" y="12462"/>
              <wp:lineTo x="14296" y="11077"/>
              <wp:lineTo x="8114" y="11077"/>
              <wp:lineTo x="10763" y="5538"/>
              <wp:lineTo x="21526" y="346"/>
              <wp:lineTo x="21526" y="0"/>
              <wp:lineTo x="0" y="0"/>
            </wp:wrapPolygon>
          </wp:wrapThrough>
          <wp:docPr id="1444788148" name="Imagem 144478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54900"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6"/>
    <w:lvl w:ilvl="0">
      <w:start w:val="1"/>
      <w:numFmt w:val="upperRoman"/>
      <w:lvlText w:val="%1."/>
      <w:lvlJc w:val="right"/>
      <w:pPr>
        <w:tabs>
          <w:tab w:val="num" w:pos="0"/>
        </w:tabs>
        <w:ind w:left="995" w:hanging="360"/>
      </w:pPr>
      <w:rPr>
        <w:b/>
        <w:bCs/>
      </w:rPr>
    </w:lvl>
    <w:lvl w:ilvl="1">
      <w:start w:val="1"/>
      <w:numFmt w:val="lowerLetter"/>
      <w:lvlText w:val="%2."/>
      <w:lvlJc w:val="left"/>
      <w:pPr>
        <w:tabs>
          <w:tab w:val="num" w:pos="0"/>
        </w:tabs>
        <w:ind w:left="1715" w:hanging="360"/>
      </w:pPr>
    </w:lvl>
    <w:lvl w:ilvl="2">
      <w:start w:val="1"/>
      <w:numFmt w:val="lowerRoman"/>
      <w:lvlText w:val="%3."/>
      <w:lvlJc w:val="right"/>
      <w:pPr>
        <w:tabs>
          <w:tab w:val="num" w:pos="0"/>
        </w:tabs>
        <w:ind w:left="2435" w:hanging="180"/>
      </w:pPr>
    </w:lvl>
    <w:lvl w:ilvl="3">
      <w:start w:val="1"/>
      <w:numFmt w:val="decimal"/>
      <w:lvlText w:val="%4."/>
      <w:lvlJc w:val="left"/>
      <w:pPr>
        <w:tabs>
          <w:tab w:val="num" w:pos="0"/>
        </w:tabs>
        <w:ind w:left="3155" w:hanging="360"/>
      </w:pPr>
    </w:lvl>
    <w:lvl w:ilvl="4">
      <w:start w:val="1"/>
      <w:numFmt w:val="lowerLetter"/>
      <w:lvlText w:val="%5."/>
      <w:lvlJc w:val="left"/>
      <w:pPr>
        <w:tabs>
          <w:tab w:val="num" w:pos="0"/>
        </w:tabs>
        <w:ind w:left="3875" w:hanging="360"/>
      </w:pPr>
    </w:lvl>
    <w:lvl w:ilvl="5">
      <w:start w:val="1"/>
      <w:numFmt w:val="lowerRoman"/>
      <w:lvlText w:val="%6."/>
      <w:lvlJc w:val="right"/>
      <w:pPr>
        <w:tabs>
          <w:tab w:val="num" w:pos="0"/>
        </w:tabs>
        <w:ind w:left="4595" w:hanging="180"/>
      </w:pPr>
    </w:lvl>
    <w:lvl w:ilvl="6">
      <w:start w:val="1"/>
      <w:numFmt w:val="decimal"/>
      <w:lvlText w:val="%7."/>
      <w:lvlJc w:val="left"/>
      <w:pPr>
        <w:tabs>
          <w:tab w:val="num" w:pos="0"/>
        </w:tabs>
        <w:ind w:left="5315" w:hanging="360"/>
      </w:pPr>
    </w:lvl>
    <w:lvl w:ilvl="7">
      <w:start w:val="1"/>
      <w:numFmt w:val="lowerLetter"/>
      <w:lvlText w:val="%8."/>
      <w:lvlJc w:val="left"/>
      <w:pPr>
        <w:tabs>
          <w:tab w:val="num" w:pos="0"/>
        </w:tabs>
        <w:ind w:left="6035" w:hanging="360"/>
      </w:pPr>
    </w:lvl>
    <w:lvl w:ilvl="8">
      <w:start w:val="1"/>
      <w:numFmt w:val="lowerRoman"/>
      <w:lvlText w:val="%9."/>
      <w:lvlJc w:val="right"/>
      <w:pPr>
        <w:tabs>
          <w:tab w:val="num" w:pos="0"/>
        </w:tabs>
        <w:ind w:left="6755" w:hanging="180"/>
      </w:pPr>
    </w:lvl>
  </w:abstractNum>
  <w:abstractNum w:abstractNumId="1" w15:restartNumberingAfterBreak="0">
    <w:nsid w:val="00000006"/>
    <w:multiLevelType w:val="multilevel"/>
    <w:tmpl w:val="00000006"/>
    <w:name w:val="WWNum7"/>
    <w:lvl w:ilvl="0">
      <w:start w:val="1"/>
      <w:numFmt w:val="upperRoman"/>
      <w:lvlText w:val="%1."/>
      <w:lvlJc w:val="right"/>
      <w:pPr>
        <w:tabs>
          <w:tab w:val="num" w:pos="0"/>
        </w:tabs>
        <w:ind w:left="995" w:hanging="360"/>
      </w:pPr>
      <w:rPr>
        <w:b/>
        <w:bCs/>
      </w:rPr>
    </w:lvl>
    <w:lvl w:ilvl="1">
      <w:start w:val="1"/>
      <w:numFmt w:val="lowerLetter"/>
      <w:lvlText w:val="%2."/>
      <w:lvlJc w:val="left"/>
      <w:pPr>
        <w:tabs>
          <w:tab w:val="num" w:pos="0"/>
        </w:tabs>
        <w:ind w:left="1715" w:hanging="360"/>
      </w:pPr>
    </w:lvl>
    <w:lvl w:ilvl="2">
      <w:start w:val="1"/>
      <w:numFmt w:val="lowerRoman"/>
      <w:lvlText w:val="%3."/>
      <w:lvlJc w:val="right"/>
      <w:pPr>
        <w:tabs>
          <w:tab w:val="num" w:pos="0"/>
        </w:tabs>
        <w:ind w:left="2435" w:hanging="180"/>
      </w:pPr>
    </w:lvl>
    <w:lvl w:ilvl="3">
      <w:start w:val="1"/>
      <w:numFmt w:val="decimal"/>
      <w:lvlText w:val="%4."/>
      <w:lvlJc w:val="left"/>
      <w:pPr>
        <w:tabs>
          <w:tab w:val="num" w:pos="0"/>
        </w:tabs>
        <w:ind w:left="3155" w:hanging="360"/>
      </w:pPr>
    </w:lvl>
    <w:lvl w:ilvl="4">
      <w:start w:val="1"/>
      <w:numFmt w:val="lowerLetter"/>
      <w:lvlText w:val="%5."/>
      <w:lvlJc w:val="left"/>
      <w:pPr>
        <w:tabs>
          <w:tab w:val="num" w:pos="0"/>
        </w:tabs>
        <w:ind w:left="3875" w:hanging="360"/>
      </w:pPr>
    </w:lvl>
    <w:lvl w:ilvl="5">
      <w:start w:val="1"/>
      <w:numFmt w:val="lowerRoman"/>
      <w:lvlText w:val="%6."/>
      <w:lvlJc w:val="right"/>
      <w:pPr>
        <w:tabs>
          <w:tab w:val="num" w:pos="0"/>
        </w:tabs>
        <w:ind w:left="4595" w:hanging="180"/>
      </w:pPr>
    </w:lvl>
    <w:lvl w:ilvl="6">
      <w:start w:val="1"/>
      <w:numFmt w:val="decimal"/>
      <w:lvlText w:val="%7."/>
      <w:lvlJc w:val="left"/>
      <w:pPr>
        <w:tabs>
          <w:tab w:val="num" w:pos="0"/>
        </w:tabs>
        <w:ind w:left="5315" w:hanging="360"/>
      </w:pPr>
    </w:lvl>
    <w:lvl w:ilvl="7">
      <w:start w:val="1"/>
      <w:numFmt w:val="lowerLetter"/>
      <w:lvlText w:val="%8."/>
      <w:lvlJc w:val="left"/>
      <w:pPr>
        <w:tabs>
          <w:tab w:val="num" w:pos="0"/>
        </w:tabs>
        <w:ind w:left="6035" w:hanging="360"/>
      </w:pPr>
    </w:lvl>
    <w:lvl w:ilvl="8">
      <w:start w:val="1"/>
      <w:numFmt w:val="lowerRoman"/>
      <w:lvlText w:val="%9."/>
      <w:lvlJc w:val="right"/>
      <w:pPr>
        <w:tabs>
          <w:tab w:val="num" w:pos="0"/>
        </w:tabs>
        <w:ind w:left="6755" w:hanging="180"/>
      </w:pPr>
    </w:lvl>
  </w:abstractNum>
  <w:abstractNum w:abstractNumId="2" w15:restartNumberingAfterBreak="0">
    <w:nsid w:val="11FD51D0"/>
    <w:multiLevelType w:val="hybridMultilevel"/>
    <w:tmpl w:val="78EC63DC"/>
    <w:lvl w:ilvl="0" w:tplc="FFFFFFFF">
      <w:start w:val="1"/>
      <w:numFmt w:val="upperRoman"/>
      <w:lvlText w:val="%1."/>
      <w:lvlJc w:val="right"/>
      <w:pPr>
        <w:ind w:left="995" w:hanging="360"/>
      </w:pPr>
      <w:rPr>
        <w:b/>
        <w:bCs/>
      </w:r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3" w15:restartNumberingAfterBreak="0">
    <w:nsid w:val="124A4B84"/>
    <w:multiLevelType w:val="hybridMultilevel"/>
    <w:tmpl w:val="088A0088"/>
    <w:lvl w:ilvl="0" w:tplc="477A9DD4">
      <w:start w:val="1"/>
      <w:numFmt w:val="upperRoman"/>
      <w:lvlText w:val="%1."/>
      <w:lvlJc w:val="right"/>
      <w:pPr>
        <w:ind w:left="1440" w:hanging="360"/>
      </w:pPr>
      <w:rPr>
        <w:b/>
        <w:bCs/>
      </w:rPr>
    </w:lvl>
    <w:lvl w:ilvl="1" w:tplc="A9BC0BB0">
      <w:start w:val="1"/>
      <w:numFmt w:val="lowerLetter"/>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4B644B4"/>
    <w:multiLevelType w:val="hybridMultilevel"/>
    <w:tmpl w:val="78EC63DC"/>
    <w:lvl w:ilvl="0" w:tplc="FFFFFFFF">
      <w:start w:val="1"/>
      <w:numFmt w:val="upperRoman"/>
      <w:lvlText w:val="%1."/>
      <w:lvlJc w:val="right"/>
      <w:pPr>
        <w:ind w:left="995" w:hanging="360"/>
      </w:pPr>
      <w:rPr>
        <w:b/>
        <w:bCs/>
      </w:r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5" w15:restartNumberingAfterBreak="0">
    <w:nsid w:val="2FF332B0"/>
    <w:multiLevelType w:val="hybridMultilevel"/>
    <w:tmpl w:val="087616A4"/>
    <w:lvl w:ilvl="0" w:tplc="04160017">
      <w:start w:val="1"/>
      <w:numFmt w:val="lowerLetter"/>
      <w:lvlText w:val="%1)"/>
      <w:lvlJc w:val="left"/>
      <w:pPr>
        <w:ind w:left="720" w:hanging="360"/>
      </w:pPr>
    </w:lvl>
    <w:lvl w:ilvl="1" w:tplc="FBF0ACF2">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4E1080"/>
    <w:multiLevelType w:val="hybridMultilevel"/>
    <w:tmpl w:val="5CB85E0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7963E5D"/>
    <w:multiLevelType w:val="hybridMultilevel"/>
    <w:tmpl w:val="78EC63DC"/>
    <w:lvl w:ilvl="0" w:tplc="FFFFFFFF">
      <w:start w:val="1"/>
      <w:numFmt w:val="upperRoman"/>
      <w:lvlText w:val="%1."/>
      <w:lvlJc w:val="right"/>
      <w:pPr>
        <w:ind w:left="995" w:hanging="360"/>
      </w:pPr>
      <w:rPr>
        <w:b/>
        <w:bCs/>
      </w:r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8" w15:restartNumberingAfterBreak="0">
    <w:nsid w:val="4460664D"/>
    <w:multiLevelType w:val="hybridMultilevel"/>
    <w:tmpl w:val="78EC63DC"/>
    <w:lvl w:ilvl="0" w:tplc="FFFFFFFF">
      <w:start w:val="1"/>
      <w:numFmt w:val="upperRoman"/>
      <w:lvlText w:val="%1."/>
      <w:lvlJc w:val="right"/>
      <w:pPr>
        <w:ind w:left="995" w:hanging="360"/>
      </w:pPr>
      <w:rPr>
        <w:b/>
        <w:bCs/>
      </w:r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9" w15:restartNumberingAfterBreak="0">
    <w:nsid w:val="6DE12C2D"/>
    <w:multiLevelType w:val="hybridMultilevel"/>
    <w:tmpl w:val="78EC63DC"/>
    <w:lvl w:ilvl="0" w:tplc="FFFFFFFF">
      <w:start w:val="1"/>
      <w:numFmt w:val="upperRoman"/>
      <w:lvlText w:val="%1."/>
      <w:lvlJc w:val="right"/>
      <w:pPr>
        <w:ind w:left="995" w:hanging="360"/>
      </w:pPr>
      <w:rPr>
        <w:b/>
        <w:bCs/>
      </w:r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10" w15:restartNumberingAfterBreak="0">
    <w:nsid w:val="6EE80003"/>
    <w:multiLevelType w:val="hybridMultilevel"/>
    <w:tmpl w:val="30B286D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706A5399"/>
    <w:multiLevelType w:val="hybridMultilevel"/>
    <w:tmpl w:val="95C63E16"/>
    <w:lvl w:ilvl="0" w:tplc="FBF0ACF2">
      <w:start w:val="1"/>
      <w:numFmt w:val="lowerLetter"/>
      <w:lvlText w:val="%1)"/>
      <w:lvlJc w:val="left"/>
      <w:pPr>
        <w:ind w:left="144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3857CC"/>
    <w:multiLevelType w:val="hybridMultilevel"/>
    <w:tmpl w:val="78EC63DC"/>
    <w:lvl w:ilvl="0" w:tplc="FFFFFFFF">
      <w:start w:val="1"/>
      <w:numFmt w:val="upperRoman"/>
      <w:lvlText w:val="%1."/>
      <w:lvlJc w:val="right"/>
      <w:pPr>
        <w:ind w:left="995" w:hanging="360"/>
      </w:pPr>
      <w:rPr>
        <w:b/>
        <w:bCs/>
      </w:r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num w:numId="1" w16cid:durableId="1799638176">
    <w:abstractNumId w:val="3"/>
  </w:num>
  <w:num w:numId="2" w16cid:durableId="602762535">
    <w:abstractNumId w:val="4"/>
  </w:num>
  <w:num w:numId="3" w16cid:durableId="1389063246">
    <w:abstractNumId w:val="9"/>
  </w:num>
  <w:num w:numId="4" w16cid:durableId="1156335114">
    <w:abstractNumId w:val="5"/>
  </w:num>
  <w:num w:numId="5" w16cid:durableId="869925444">
    <w:abstractNumId w:val="6"/>
  </w:num>
  <w:num w:numId="6" w16cid:durableId="268706016">
    <w:abstractNumId w:val="12"/>
  </w:num>
  <w:num w:numId="7" w16cid:durableId="436676234">
    <w:abstractNumId w:val="7"/>
  </w:num>
  <w:num w:numId="8" w16cid:durableId="1645348245">
    <w:abstractNumId w:val="2"/>
  </w:num>
  <w:num w:numId="9" w16cid:durableId="669019845">
    <w:abstractNumId w:val="10"/>
  </w:num>
  <w:num w:numId="10" w16cid:durableId="398018196">
    <w:abstractNumId w:val="8"/>
  </w:num>
  <w:num w:numId="11" w16cid:durableId="849367085">
    <w:abstractNumId w:val="0"/>
  </w:num>
  <w:num w:numId="12" w16cid:durableId="1843472826">
    <w:abstractNumId w:val="1"/>
  </w:num>
  <w:num w:numId="13" w16cid:durableId="2124225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D8"/>
    <w:rsid w:val="00006B8D"/>
    <w:rsid w:val="00024B60"/>
    <w:rsid w:val="00051BEF"/>
    <w:rsid w:val="0006157F"/>
    <w:rsid w:val="00065064"/>
    <w:rsid w:val="000701CC"/>
    <w:rsid w:val="000C0453"/>
    <w:rsid w:val="000D3664"/>
    <w:rsid w:val="000E12F6"/>
    <w:rsid w:val="000F463C"/>
    <w:rsid w:val="00115C42"/>
    <w:rsid w:val="00143EBB"/>
    <w:rsid w:val="00160FA0"/>
    <w:rsid w:val="00167FBC"/>
    <w:rsid w:val="00174B76"/>
    <w:rsid w:val="001808E1"/>
    <w:rsid w:val="00180C55"/>
    <w:rsid w:val="00194FDA"/>
    <w:rsid w:val="001A6238"/>
    <w:rsid w:val="001C23E6"/>
    <w:rsid w:val="001F6414"/>
    <w:rsid w:val="00202971"/>
    <w:rsid w:val="00203CEB"/>
    <w:rsid w:val="00223F9A"/>
    <w:rsid w:val="0023027B"/>
    <w:rsid w:val="002473A8"/>
    <w:rsid w:val="0028312B"/>
    <w:rsid w:val="00284404"/>
    <w:rsid w:val="002F00E0"/>
    <w:rsid w:val="0031082F"/>
    <w:rsid w:val="003213C1"/>
    <w:rsid w:val="00361DA1"/>
    <w:rsid w:val="00384671"/>
    <w:rsid w:val="00392F44"/>
    <w:rsid w:val="003A5561"/>
    <w:rsid w:val="003C0B10"/>
    <w:rsid w:val="003D2336"/>
    <w:rsid w:val="003D5EEC"/>
    <w:rsid w:val="003E0CDA"/>
    <w:rsid w:val="003F1AEB"/>
    <w:rsid w:val="00427376"/>
    <w:rsid w:val="004313F3"/>
    <w:rsid w:val="004504B0"/>
    <w:rsid w:val="00460491"/>
    <w:rsid w:val="004650E8"/>
    <w:rsid w:val="00472CF2"/>
    <w:rsid w:val="004815A6"/>
    <w:rsid w:val="004C1E59"/>
    <w:rsid w:val="004D649C"/>
    <w:rsid w:val="004E27EB"/>
    <w:rsid w:val="004E723A"/>
    <w:rsid w:val="00504AD7"/>
    <w:rsid w:val="0055092F"/>
    <w:rsid w:val="0056169E"/>
    <w:rsid w:val="0056581C"/>
    <w:rsid w:val="00570358"/>
    <w:rsid w:val="005D5C89"/>
    <w:rsid w:val="005D6A70"/>
    <w:rsid w:val="005F37D8"/>
    <w:rsid w:val="005F42CA"/>
    <w:rsid w:val="005F65E8"/>
    <w:rsid w:val="0062607C"/>
    <w:rsid w:val="00637BF3"/>
    <w:rsid w:val="00662F69"/>
    <w:rsid w:val="00685431"/>
    <w:rsid w:val="006A1685"/>
    <w:rsid w:val="006B582A"/>
    <w:rsid w:val="006F5E3D"/>
    <w:rsid w:val="00701D3C"/>
    <w:rsid w:val="00740222"/>
    <w:rsid w:val="00780727"/>
    <w:rsid w:val="0078357D"/>
    <w:rsid w:val="007D03D2"/>
    <w:rsid w:val="00801518"/>
    <w:rsid w:val="00816368"/>
    <w:rsid w:val="00820FDC"/>
    <w:rsid w:val="00830974"/>
    <w:rsid w:val="00840100"/>
    <w:rsid w:val="0085245E"/>
    <w:rsid w:val="00853CDF"/>
    <w:rsid w:val="00854F93"/>
    <w:rsid w:val="008D3472"/>
    <w:rsid w:val="008F55C9"/>
    <w:rsid w:val="00922B2F"/>
    <w:rsid w:val="00937205"/>
    <w:rsid w:val="009A1A65"/>
    <w:rsid w:val="00A01C6B"/>
    <w:rsid w:val="00A15853"/>
    <w:rsid w:val="00A17DCE"/>
    <w:rsid w:val="00A4364E"/>
    <w:rsid w:val="00A56A2F"/>
    <w:rsid w:val="00A56F62"/>
    <w:rsid w:val="00A971F8"/>
    <w:rsid w:val="00AB1B21"/>
    <w:rsid w:val="00AC1826"/>
    <w:rsid w:val="00AD7952"/>
    <w:rsid w:val="00AE4452"/>
    <w:rsid w:val="00B02042"/>
    <w:rsid w:val="00B171AE"/>
    <w:rsid w:val="00B36897"/>
    <w:rsid w:val="00B42B8B"/>
    <w:rsid w:val="00B533F9"/>
    <w:rsid w:val="00B80EEC"/>
    <w:rsid w:val="00B861B7"/>
    <w:rsid w:val="00BB032A"/>
    <w:rsid w:val="00BC7C48"/>
    <w:rsid w:val="00BD3296"/>
    <w:rsid w:val="00C04221"/>
    <w:rsid w:val="00C0713E"/>
    <w:rsid w:val="00C734D9"/>
    <w:rsid w:val="00C94F3C"/>
    <w:rsid w:val="00D16BC0"/>
    <w:rsid w:val="00D6214A"/>
    <w:rsid w:val="00D85EEC"/>
    <w:rsid w:val="00D970C3"/>
    <w:rsid w:val="00E0573E"/>
    <w:rsid w:val="00E11CD0"/>
    <w:rsid w:val="00E6297C"/>
    <w:rsid w:val="00E843D4"/>
    <w:rsid w:val="00E84BC3"/>
    <w:rsid w:val="00E8602B"/>
    <w:rsid w:val="00EC19A9"/>
    <w:rsid w:val="00ED754A"/>
    <w:rsid w:val="00F6310E"/>
    <w:rsid w:val="00F75C88"/>
    <w:rsid w:val="00F77BCC"/>
    <w:rsid w:val="00F930B0"/>
    <w:rsid w:val="00FB2AD4"/>
    <w:rsid w:val="00FB46D3"/>
    <w:rsid w:val="156D6A36"/>
    <w:rsid w:val="2F257BE7"/>
    <w:rsid w:val="3EC90353"/>
    <w:rsid w:val="466F43CA"/>
    <w:rsid w:val="6142385C"/>
    <w:rsid w:val="67010C0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6EA5D"/>
  <w15:docId w15:val="{E6CB3B88-862E-4A1F-B8C2-4F5EEB6A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sz w:val="22"/>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Pr>
      <w:szCs w:val="24"/>
    </w:rPr>
  </w:style>
  <w:style w:type="paragraph" w:styleId="Cabealho">
    <w:name w:val="header"/>
    <w:basedOn w:val="Normal"/>
    <w:link w:val="CabealhoChar"/>
    <w:uiPriority w:val="99"/>
    <w:unhideWhenUsed/>
    <w:pPr>
      <w:tabs>
        <w:tab w:val="center" w:pos="4252"/>
        <w:tab w:val="right" w:pos="8504"/>
      </w:tabs>
      <w:spacing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qFormat/>
    <w:pPr>
      <w:tabs>
        <w:tab w:val="center" w:pos="4252"/>
        <w:tab w:val="right" w:pos="8504"/>
      </w:tabs>
      <w:spacing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qFormat/>
    <w:tblPr>
      <w:tblCellMar>
        <w:top w:w="100" w:type="dxa"/>
        <w:left w:w="100" w:type="dxa"/>
        <w:bottom w:w="100" w:type="dxa"/>
        <w:right w:w="100" w:type="dxa"/>
      </w:tblCellMar>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comentrioChar">
    <w:name w:val="Texto de comentário Char"/>
    <w:basedOn w:val="Fontepargpadro"/>
    <w:link w:val="Textodecomentrio"/>
    <w:uiPriority w:val="99"/>
    <w:semiHidden/>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styleId="Forte">
    <w:name w:val="Strong"/>
    <w:basedOn w:val="Fontepargpadro"/>
    <w:uiPriority w:val="22"/>
    <w:qFormat/>
    <w:rsid w:val="00937205"/>
    <w:rPr>
      <w:b/>
      <w:bCs/>
    </w:rPr>
  </w:style>
  <w:style w:type="paragraph" w:styleId="PargrafodaLista">
    <w:name w:val="List Paragraph"/>
    <w:basedOn w:val="Normal"/>
    <w:uiPriority w:val="99"/>
    <w:rsid w:val="00F77BCC"/>
    <w:pPr>
      <w:ind w:left="720"/>
      <w:contextualSpacing/>
    </w:pPr>
  </w:style>
  <w:style w:type="paragraph" w:styleId="Textodebalo">
    <w:name w:val="Balloon Text"/>
    <w:basedOn w:val="Normal"/>
    <w:link w:val="TextodebaloChar"/>
    <w:uiPriority w:val="99"/>
    <w:semiHidden/>
    <w:unhideWhenUsed/>
    <w:rsid w:val="000F463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463C"/>
    <w:rPr>
      <w:rFonts w:ascii="Segoe UI" w:eastAsia="Arial" w:hAnsi="Segoe UI" w:cs="Segoe UI"/>
      <w:sz w:val="18"/>
      <w:szCs w:val="18"/>
    </w:rPr>
  </w:style>
  <w:style w:type="character" w:styleId="Hyperlink">
    <w:name w:val="Hyperlink"/>
    <w:rsid w:val="000F463C"/>
    <w:rPr>
      <w:color w:val="000080"/>
      <w:u w:val="single"/>
    </w:rPr>
  </w:style>
  <w:style w:type="paragraph" w:customStyle="1" w:styleId="PargrafodaLista1">
    <w:name w:val="Parágrafo da Lista1"/>
    <w:basedOn w:val="Normal"/>
    <w:rsid w:val="000F463C"/>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ug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bCD4CwwfoJ0e8EstHZMcYP0YYw==">CgMxLjA4AHIhMUFqaVpBRm95YWFPMGNFdVlJZy0yQjZ4RVJWS2wxMnV5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E6BD28-7784-4131-9CAD-C86D086F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4109</Words>
  <Characters>22189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dc:creator>
  <cp:lastModifiedBy>Lais</cp:lastModifiedBy>
  <cp:revision>45</cp:revision>
  <dcterms:created xsi:type="dcterms:W3CDTF">2024-05-15T17:31:00Z</dcterms:created>
  <dcterms:modified xsi:type="dcterms:W3CDTF">2024-06-03T12:42:00Z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y fmtid="{D5CDD505-2E9C-101B-9397-08002B2CF9AE}" pid="8" name="KSOProductBuildVer">
    <vt:lpwstr>1046-12.2.0.16909</vt:lpwstr>
  </property>
  <property fmtid="{D5CDD505-2E9C-101B-9397-08002B2CF9AE}" pid="9" name="ICV">
    <vt:lpwstr>350C5B06DC4F43289A39EB9979378FCF_12</vt:lpwstr>
  </property>
</Properties>
</file>