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D3E" w:rsidRPr="00D859B3" w:rsidRDefault="00660D3E" w:rsidP="00BA42CD">
      <w:pPr>
        <w:spacing w:after="0"/>
        <w:jc w:val="center"/>
        <w:rPr>
          <w:rFonts w:ascii="Arial" w:hAnsi="Arial" w:cs="Arial"/>
          <w:b/>
          <w:bCs/>
        </w:rPr>
      </w:pPr>
      <w:r w:rsidRPr="00D859B3">
        <w:rPr>
          <w:rFonts w:ascii="Arial" w:hAnsi="Arial" w:cs="Arial"/>
          <w:b/>
          <w:bCs/>
        </w:rPr>
        <w:t xml:space="preserve">CONCURSO PÚBLICO NACIONAL DE PROJETO DE ARQUITETURA </w:t>
      </w:r>
    </w:p>
    <w:p w:rsidR="00660D3E" w:rsidRDefault="00660D3E" w:rsidP="00BA42CD">
      <w:pPr>
        <w:spacing w:after="0"/>
        <w:jc w:val="center"/>
        <w:rPr>
          <w:rFonts w:ascii="Arial" w:hAnsi="Arial" w:cs="Arial"/>
          <w:b/>
          <w:bCs/>
        </w:rPr>
      </w:pPr>
      <w:r w:rsidRPr="00D859B3">
        <w:rPr>
          <w:rFonts w:ascii="Arial" w:hAnsi="Arial" w:cs="Arial"/>
          <w:b/>
          <w:bCs/>
        </w:rPr>
        <w:t xml:space="preserve">PARA HABITAÇÃO </w:t>
      </w:r>
      <w:r>
        <w:rPr>
          <w:rFonts w:ascii="Arial" w:hAnsi="Arial" w:cs="Arial"/>
          <w:b/>
          <w:bCs/>
        </w:rPr>
        <w:t xml:space="preserve">QUILOMBOLA </w:t>
      </w:r>
      <w:r w:rsidRPr="00D859B3">
        <w:rPr>
          <w:rFonts w:ascii="Arial" w:hAnsi="Arial" w:cs="Arial"/>
          <w:b/>
          <w:bCs/>
        </w:rPr>
        <w:t>DE INTERESSE SOCIAL</w:t>
      </w:r>
      <w:r>
        <w:rPr>
          <w:rFonts w:ascii="Arial" w:hAnsi="Arial" w:cs="Arial"/>
          <w:b/>
          <w:bCs/>
        </w:rPr>
        <w:t xml:space="preserve"> N° 01/2021</w:t>
      </w:r>
    </w:p>
    <w:p w:rsidR="00660D3E" w:rsidRPr="00D859B3" w:rsidRDefault="00660D3E" w:rsidP="00BA42CD">
      <w:pPr>
        <w:spacing w:after="0"/>
        <w:jc w:val="center"/>
        <w:rPr>
          <w:rFonts w:ascii="Arial" w:hAnsi="Arial" w:cs="Arial"/>
          <w:b/>
          <w:bCs/>
        </w:rPr>
      </w:pPr>
    </w:p>
    <w:p w:rsidR="00660D3E" w:rsidRPr="00A651E2" w:rsidRDefault="00660D3E" w:rsidP="00BA42CD">
      <w:pPr>
        <w:spacing w:after="0"/>
        <w:rPr>
          <w:rFonts w:ascii="Arial" w:hAnsi="Arial" w:cs="Arial"/>
          <w:b/>
          <w:bCs/>
          <w:sz w:val="16"/>
        </w:rPr>
      </w:pPr>
    </w:p>
    <w:p w:rsidR="00660D3E" w:rsidRDefault="00660D3E" w:rsidP="00BA42CD">
      <w:pPr>
        <w:spacing w:after="0"/>
        <w:jc w:val="center"/>
        <w:rPr>
          <w:rFonts w:ascii="Arial" w:hAnsi="Arial" w:cs="Arial"/>
          <w:b/>
          <w:bCs/>
        </w:rPr>
      </w:pPr>
      <w:r>
        <w:rPr>
          <w:rFonts w:ascii="Arial" w:hAnsi="Arial" w:cs="Arial"/>
          <w:b/>
          <w:bCs/>
        </w:rPr>
        <w:t>NOTA TÉCNICA</w:t>
      </w:r>
    </w:p>
    <w:p w:rsidR="00660D3E" w:rsidRDefault="00660D3E" w:rsidP="00BA42CD">
      <w:pPr>
        <w:spacing w:after="0"/>
        <w:jc w:val="center"/>
        <w:rPr>
          <w:rFonts w:ascii="Arial" w:hAnsi="Arial" w:cs="Arial"/>
          <w:b/>
          <w:bCs/>
        </w:rPr>
      </w:pPr>
    </w:p>
    <w:p w:rsidR="00660D3E" w:rsidRDefault="00660D3E" w:rsidP="00BA42CD">
      <w:pPr>
        <w:spacing w:after="0"/>
        <w:jc w:val="center"/>
        <w:rPr>
          <w:rFonts w:ascii="Arial" w:hAnsi="Arial" w:cs="Arial"/>
          <w:b/>
          <w:bCs/>
        </w:rPr>
      </w:pPr>
    </w:p>
    <w:p w:rsidR="002547B4" w:rsidRPr="004513C2" w:rsidRDefault="00660D3E" w:rsidP="00BA42CD">
      <w:pPr>
        <w:spacing w:after="0"/>
        <w:jc w:val="both"/>
        <w:rPr>
          <w:rFonts w:ascii="Arial" w:hAnsi="Arial" w:cs="Arial"/>
          <w:bCs/>
        </w:rPr>
      </w:pPr>
      <w:r w:rsidRPr="00035122">
        <w:rPr>
          <w:rFonts w:ascii="Arial" w:hAnsi="Arial" w:cs="Arial"/>
          <w:sz w:val="24"/>
          <w:szCs w:val="24"/>
        </w:rPr>
        <w:t>O Conselho De Arquitetura e Urbanismo de Goiás -</w:t>
      </w:r>
      <w:r w:rsidR="002547B4">
        <w:rPr>
          <w:rFonts w:ascii="Arial" w:hAnsi="Arial" w:cs="Arial"/>
          <w:sz w:val="24"/>
          <w:szCs w:val="24"/>
        </w:rPr>
        <w:t xml:space="preserve"> CAU/GO</w:t>
      </w:r>
      <w:r w:rsidR="00035122">
        <w:rPr>
          <w:rFonts w:ascii="Arial" w:hAnsi="Arial" w:cs="Arial"/>
          <w:sz w:val="24"/>
          <w:szCs w:val="24"/>
        </w:rPr>
        <w:t xml:space="preserve"> cum</w:t>
      </w:r>
      <w:r w:rsidR="002547B4">
        <w:rPr>
          <w:rFonts w:ascii="Arial" w:hAnsi="Arial" w:cs="Arial"/>
          <w:sz w:val="24"/>
          <w:szCs w:val="24"/>
        </w:rPr>
        <w:t>prindo</w:t>
      </w:r>
      <w:r w:rsidR="00035122">
        <w:rPr>
          <w:rFonts w:ascii="Arial" w:hAnsi="Arial" w:cs="Arial"/>
          <w:sz w:val="24"/>
          <w:szCs w:val="24"/>
        </w:rPr>
        <w:t xml:space="preserve"> os objetivos dispostos na Lei 12.378/2010</w:t>
      </w:r>
      <w:r w:rsidR="002547B4">
        <w:rPr>
          <w:rFonts w:ascii="Arial" w:hAnsi="Arial" w:cs="Arial"/>
          <w:sz w:val="24"/>
          <w:szCs w:val="24"/>
        </w:rPr>
        <w:t xml:space="preserve"> apresenta esta NOTA TÉCNICA com o intuito de acrescentar informações ao Projeto Básico do </w:t>
      </w:r>
      <w:r w:rsidR="002547B4" w:rsidRPr="002547B4">
        <w:rPr>
          <w:rFonts w:ascii="Arial" w:hAnsi="Arial" w:cs="Arial"/>
          <w:bCs/>
        </w:rPr>
        <w:t>CONCURSO PÚBLICO NACIONAL DE PROJETO DE ARQUITETURA PARA HABITAÇÃO QUILOMBOLA DE INTERESSE SOCIAL</w:t>
      </w:r>
      <w:r w:rsidR="002547B4">
        <w:rPr>
          <w:rFonts w:ascii="Arial" w:hAnsi="Arial" w:cs="Arial"/>
          <w:sz w:val="24"/>
          <w:szCs w:val="24"/>
        </w:rPr>
        <w:t xml:space="preserve">, </w:t>
      </w:r>
      <w:r w:rsidR="002547B4" w:rsidRPr="00D859B3">
        <w:rPr>
          <w:rFonts w:ascii="Arial" w:hAnsi="Arial" w:cs="Arial"/>
        </w:rPr>
        <w:t>estabelecid</w:t>
      </w:r>
      <w:r w:rsidR="002547B4">
        <w:rPr>
          <w:rFonts w:ascii="Arial" w:hAnsi="Arial" w:cs="Arial"/>
        </w:rPr>
        <w:t>o em parceria</w:t>
      </w:r>
      <w:r w:rsidR="002547B4" w:rsidRPr="00D859B3">
        <w:rPr>
          <w:rFonts w:ascii="Arial" w:hAnsi="Arial" w:cs="Arial"/>
        </w:rPr>
        <w:t xml:space="preserve"> com </w:t>
      </w:r>
      <w:r w:rsidR="002547B4" w:rsidRPr="004513C2">
        <w:rPr>
          <w:rFonts w:ascii="Arial" w:hAnsi="Arial" w:cs="Arial"/>
        </w:rPr>
        <w:t>a Agência Goiana de Habitação - AGEHAB, através do Termo de Cooperação Técnica nº 01/2021.</w:t>
      </w:r>
    </w:p>
    <w:p w:rsidR="002547B4" w:rsidRPr="002547B4" w:rsidRDefault="002547B4" w:rsidP="00BA42CD">
      <w:pPr>
        <w:spacing w:after="0"/>
        <w:jc w:val="both"/>
        <w:rPr>
          <w:rFonts w:ascii="Arial" w:hAnsi="Arial" w:cs="Arial"/>
          <w:bCs/>
        </w:rPr>
      </w:pPr>
    </w:p>
    <w:p w:rsidR="00A87E91" w:rsidRDefault="00A87E91" w:rsidP="00BA42CD">
      <w:pPr>
        <w:spacing w:after="0"/>
        <w:jc w:val="both"/>
        <w:rPr>
          <w:rFonts w:ascii="Arial" w:hAnsi="Arial" w:cs="Arial"/>
        </w:rPr>
      </w:pPr>
      <w:r>
        <w:rPr>
          <w:rFonts w:ascii="Arial" w:hAnsi="Arial" w:cs="Arial"/>
          <w:sz w:val="24"/>
          <w:szCs w:val="24"/>
        </w:rPr>
        <w:t xml:space="preserve">O objeto do concurso prevê </w:t>
      </w:r>
      <w:r>
        <w:rPr>
          <w:rFonts w:ascii="Arial" w:hAnsi="Arial" w:cs="Arial"/>
        </w:rPr>
        <w:t>projeto que respeite a cultura local e que promovam</w:t>
      </w:r>
      <w:r w:rsidRPr="00D859B3">
        <w:rPr>
          <w:rFonts w:ascii="Arial" w:hAnsi="Arial" w:cs="Arial"/>
        </w:rPr>
        <w:t xml:space="preserve"> soluções inovadoras </w:t>
      </w:r>
      <w:r>
        <w:rPr>
          <w:rFonts w:ascii="Arial" w:hAnsi="Arial" w:cs="Arial"/>
        </w:rPr>
        <w:t>para esse</w:t>
      </w:r>
      <w:r w:rsidR="004B4EC5">
        <w:rPr>
          <w:rFonts w:ascii="Arial" w:hAnsi="Arial" w:cs="Arial"/>
        </w:rPr>
        <w:t xml:space="preserve"> grupo especial que são os</w:t>
      </w:r>
      <w:r>
        <w:rPr>
          <w:rFonts w:ascii="Arial" w:hAnsi="Arial" w:cs="Arial"/>
        </w:rPr>
        <w:t xml:space="preserve"> Kalunga. Esses povos vivem em comunidades chamadas Quilombos.</w:t>
      </w:r>
    </w:p>
    <w:p w:rsidR="00A87E91" w:rsidRPr="00D859B3" w:rsidRDefault="00A87E91" w:rsidP="00BA42CD">
      <w:pPr>
        <w:spacing w:after="0"/>
        <w:jc w:val="both"/>
        <w:rPr>
          <w:rFonts w:ascii="Arial" w:hAnsi="Arial" w:cs="Arial"/>
        </w:rPr>
      </w:pPr>
    </w:p>
    <w:p w:rsidR="00740CEE" w:rsidRPr="00D9290E" w:rsidRDefault="00740CEE" w:rsidP="00BA42CD">
      <w:pPr>
        <w:jc w:val="both"/>
        <w:rPr>
          <w:rFonts w:ascii="Arial" w:hAnsi="Arial" w:cs="Arial"/>
          <w:sz w:val="24"/>
          <w:szCs w:val="24"/>
        </w:rPr>
      </w:pPr>
      <w:r w:rsidRPr="00D9290E">
        <w:rPr>
          <w:rFonts w:ascii="Arial" w:hAnsi="Arial" w:cs="Arial"/>
          <w:sz w:val="24"/>
          <w:szCs w:val="24"/>
        </w:rPr>
        <w:t>Quilombos são comuni</w:t>
      </w:r>
      <w:r w:rsidR="004513C2">
        <w:rPr>
          <w:rFonts w:ascii="Arial" w:hAnsi="Arial" w:cs="Arial"/>
          <w:sz w:val="24"/>
          <w:szCs w:val="24"/>
        </w:rPr>
        <w:t xml:space="preserve">dades organizadas formadas por </w:t>
      </w:r>
      <w:r w:rsidR="004513C2" w:rsidRPr="00D9290E">
        <w:rPr>
          <w:rFonts w:ascii="Arial" w:hAnsi="Arial" w:cs="Arial"/>
          <w:sz w:val="24"/>
          <w:szCs w:val="24"/>
        </w:rPr>
        <w:t>escravos</w:t>
      </w:r>
      <w:r w:rsidRPr="00D9290E">
        <w:rPr>
          <w:rFonts w:ascii="Arial" w:hAnsi="Arial" w:cs="Arial"/>
          <w:sz w:val="24"/>
          <w:szCs w:val="24"/>
        </w:rPr>
        <w:t xml:space="preserve"> fugitivos de seus cativeiros em senzalas ou abandonados por donos de terra que os escravizavam. As comunidades quilombolas são lugares de resistência e que garantiram a </w:t>
      </w:r>
      <w:r w:rsidR="001B1DD7" w:rsidRPr="00D9290E">
        <w:rPr>
          <w:rFonts w:ascii="Arial" w:hAnsi="Arial" w:cs="Arial"/>
          <w:sz w:val="24"/>
          <w:szCs w:val="24"/>
        </w:rPr>
        <w:t>sobrevivência</w:t>
      </w:r>
      <w:r w:rsidRPr="00D9290E">
        <w:rPr>
          <w:rFonts w:ascii="Arial" w:hAnsi="Arial" w:cs="Arial"/>
          <w:sz w:val="24"/>
          <w:szCs w:val="24"/>
        </w:rPr>
        <w:t xml:space="preserve"> de populações </w:t>
      </w:r>
      <w:r w:rsidR="001B1DD7" w:rsidRPr="00D9290E">
        <w:rPr>
          <w:rFonts w:ascii="Arial" w:hAnsi="Arial" w:cs="Arial"/>
          <w:sz w:val="24"/>
          <w:szCs w:val="24"/>
        </w:rPr>
        <w:t xml:space="preserve">de negros </w:t>
      </w:r>
      <w:r w:rsidRPr="00D9290E">
        <w:rPr>
          <w:rFonts w:ascii="Arial" w:hAnsi="Arial" w:cs="Arial"/>
          <w:sz w:val="24"/>
          <w:szCs w:val="24"/>
        </w:rPr>
        <w:t>que não se fixaram nas periferias das cidades</w:t>
      </w:r>
      <w:r w:rsidR="00A87E91">
        <w:rPr>
          <w:rFonts w:ascii="Arial" w:hAnsi="Arial" w:cs="Arial"/>
          <w:sz w:val="24"/>
          <w:szCs w:val="24"/>
        </w:rPr>
        <w:t>, quando da publicação da L</w:t>
      </w:r>
      <w:r w:rsidR="001B1DD7" w:rsidRPr="00D9290E">
        <w:rPr>
          <w:rFonts w:ascii="Arial" w:hAnsi="Arial" w:cs="Arial"/>
          <w:sz w:val="24"/>
          <w:szCs w:val="24"/>
        </w:rPr>
        <w:t xml:space="preserve">ei Áurea em 1888 no Brasil. Estão localizadas, portanto, na zona rural do território brasileiro </w:t>
      </w:r>
      <w:r w:rsidR="00ED5C59" w:rsidRPr="00D9290E">
        <w:rPr>
          <w:rFonts w:ascii="Arial" w:hAnsi="Arial" w:cs="Arial"/>
          <w:sz w:val="24"/>
          <w:szCs w:val="24"/>
        </w:rPr>
        <w:t xml:space="preserve">há </w:t>
      </w:r>
      <w:r w:rsidR="00AE5B0E" w:rsidRPr="00D9290E">
        <w:rPr>
          <w:rFonts w:ascii="Arial" w:hAnsi="Arial" w:cs="Arial"/>
          <w:sz w:val="24"/>
          <w:szCs w:val="24"/>
        </w:rPr>
        <w:t>cinco</w:t>
      </w:r>
      <w:r w:rsidR="00AA6782" w:rsidRPr="00D9290E">
        <w:rPr>
          <w:rFonts w:ascii="Arial" w:hAnsi="Arial" w:cs="Arial"/>
          <w:sz w:val="24"/>
          <w:szCs w:val="24"/>
        </w:rPr>
        <w:t xml:space="preserve"> século</w:t>
      </w:r>
      <w:r w:rsidR="00ED5C59" w:rsidRPr="00D9290E">
        <w:rPr>
          <w:rFonts w:ascii="Arial" w:hAnsi="Arial" w:cs="Arial"/>
          <w:sz w:val="24"/>
          <w:szCs w:val="24"/>
        </w:rPr>
        <w:t>s</w:t>
      </w:r>
      <w:r w:rsidR="00AA6782" w:rsidRPr="00D9290E">
        <w:rPr>
          <w:rFonts w:ascii="Arial" w:hAnsi="Arial" w:cs="Arial"/>
          <w:sz w:val="24"/>
          <w:szCs w:val="24"/>
        </w:rPr>
        <w:t>, o que fez com que suas especificidades culturais pudessem ser preservadas.</w:t>
      </w:r>
    </w:p>
    <w:p w:rsidR="00D9290E" w:rsidRPr="00D9290E" w:rsidRDefault="00D9290E" w:rsidP="00BA42CD">
      <w:pPr>
        <w:jc w:val="both"/>
        <w:rPr>
          <w:rFonts w:ascii="Arial" w:hAnsi="Arial" w:cs="Arial"/>
          <w:sz w:val="24"/>
          <w:szCs w:val="24"/>
        </w:rPr>
      </w:pPr>
      <w:r w:rsidRPr="00D9290E">
        <w:rPr>
          <w:rFonts w:ascii="Arial" w:hAnsi="Arial" w:cs="Arial"/>
          <w:sz w:val="24"/>
          <w:szCs w:val="24"/>
        </w:rPr>
        <w:t xml:space="preserve">As primeiras comunidades </w:t>
      </w:r>
      <w:r w:rsidR="00A87E91">
        <w:rPr>
          <w:rFonts w:ascii="Arial" w:hAnsi="Arial" w:cs="Arial"/>
          <w:sz w:val="24"/>
          <w:szCs w:val="24"/>
        </w:rPr>
        <w:t>quilombolas</w:t>
      </w:r>
      <w:r w:rsidRPr="00D9290E">
        <w:rPr>
          <w:rFonts w:ascii="Arial" w:hAnsi="Arial" w:cs="Arial"/>
          <w:sz w:val="24"/>
          <w:szCs w:val="24"/>
        </w:rPr>
        <w:t xml:space="preserve"> eram localizadas em áreas de difícil acesso, usando os acidentes geográficos naturais como formações rochosas íngremes, rios instransponíveis além de matas fechadas para evitar sua captura e, no caso de serem encontrados pelos caçadores, permitirem a fuga de toda comunidade para uma nova localidade. Com o tempo (principalmente com a abolição da escravatura em lei) os quilombos se fixaram em territórios próximos a vilas e arraiais, ou mesmo</w:t>
      </w:r>
      <w:r w:rsidR="00A87E91">
        <w:rPr>
          <w:rFonts w:ascii="Arial" w:hAnsi="Arial" w:cs="Arial"/>
          <w:sz w:val="24"/>
          <w:szCs w:val="24"/>
        </w:rPr>
        <w:t xml:space="preserve"> próximo</w:t>
      </w:r>
      <w:r w:rsidRPr="00D9290E">
        <w:rPr>
          <w:rFonts w:ascii="Arial" w:hAnsi="Arial" w:cs="Arial"/>
          <w:sz w:val="24"/>
          <w:szCs w:val="24"/>
        </w:rPr>
        <w:t xml:space="preserve"> de grandes propriedades rurais, havendo registro de compra das terras ocupadas.</w:t>
      </w:r>
    </w:p>
    <w:p w:rsidR="00D9290E" w:rsidRDefault="00D9290E" w:rsidP="00BA42CD">
      <w:pPr>
        <w:jc w:val="both"/>
        <w:rPr>
          <w:rFonts w:ascii="Arial" w:hAnsi="Arial" w:cs="Arial"/>
          <w:sz w:val="24"/>
          <w:szCs w:val="24"/>
        </w:rPr>
      </w:pPr>
      <w:r w:rsidRPr="00D9290E">
        <w:rPr>
          <w:rFonts w:ascii="Arial" w:hAnsi="Arial" w:cs="Arial"/>
          <w:sz w:val="24"/>
          <w:szCs w:val="24"/>
        </w:rPr>
        <w:t>Mais recentemente a Constituição Federal de 1988, em seu Artigo 68, reconheceu o direito de propriedade dos quilombolas garantindo a posse das terras onde se encontram remanescentes destes no território nacional. Os Estados brasileiros com maior numero de remanescentes de quilombo</w:t>
      </w:r>
      <w:r w:rsidR="00A87E91">
        <w:rPr>
          <w:rFonts w:ascii="Arial" w:hAnsi="Arial" w:cs="Arial"/>
          <w:sz w:val="24"/>
          <w:szCs w:val="24"/>
        </w:rPr>
        <w:t>s</w:t>
      </w:r>
      <w:r w:rsidRPr="00D9290E">
        <w:rPr>
          <w:rFonts w:ascii="Arial" w:hAnsi="Arial" w:cs="Arial"/>
          <w:sz w:val="24"/>
          <w:szCs w:val="24"/>
        </w:rPr>
        <w:t xml:space="preserve"> são Bahia, Maranhão, Pará e Minas Gerais (Barreto, 2006). Em Goiás, o garimpo de ouro (no </w:t>
      </w:r>
      <w:r w:rsidR="00AE5B0E">
        <w:rPr>
          <w:rFonts w:ascii="Arial" w:hAnsi="Arial" w:cs="Arial"/>
          <w:sz w:val="24"/>
          <w:szCs w:val="24"/>
        </w:rPr>
        <w:t>séc</w:t>
      </w:r>
      <w:r w:rsidRPr="00D9290E">
        <w:rPr>
          <w:rFonts w:ascii="Arial" w:hAnsi="Arial" w:cs="Arial"/>
          <w:sz w:val="24"/>
          <w:szCs w:val="24"/>
        </w:rPr>
        <w:t xml:space="preserve">. XVI) foi o indutor da locação dos primeiros quilombos, hoje delimitados entre os municípios de Teresina de Goiás, Monte Alegre e Cavalcante, </w:t>
      </w:r>
      <w:r>
        <w:rPr>
          <w:rFonts w:ascii="Arial" w:hAnsi="Arial" w:cs="Arial"/>
          <w:sz w:val="24"/>
          <w:szCs w:val="24"/>
        </w:rPr>
        <w:t>a nord</w:t>
      </w:r>
      <w:r w:rsidRPr="00D9290E">
        <w:rPr>
          <w:rFonts w:ascii="Arial" w:hAnsi="Arial" w:cs="Arial"/>
          <w:sz w:val="24"/>
          <w:szCs w:val="24"/>
        </w:rPr>
        <w:t>e</w:t>
      </w:r>
      <w:r>
        <w:rPr>
          <w:rFonts w:ascii="Arial" w:hAnsi="Arial" w:cs="Arial"/>
          <w:sz w:val="24"/>
          <w:szCs w:val="24"/>
        </w:rPr>
        <w:t>ste</w:t>
      </w:r>
      <w:r w:rsidRPr="00D9290E">
        <w:rPr>
          <w:rFonts w:ascii="Arial" w:hAnsi="Arial" w:cs="Arial"/>
          <w:sz w:val="24"/>
          <w:szCs w:val="24"/>
        </w:rPr>
        <w:t xml:space="preserve"> do Estado e próximo à divisa com o Estado da </w:t>
      </w:r>
      <w:r w:rsidR="00AE5B0E" w:rsidRPr="00D9290E">
        <w:rPr>
          <w:rFonts w:ascii="Arial" w:hAnsi="Arial" w:cs="Arial"/>
          <w:sz w:val="24"/>
          <w:szCs w:val="24"/>
        </w:rPr>
        <w:t xml:space="preserve">Bahia. </w:t>
      </w:r>
    </w:p>
    <w:p w:rsidR="00BA42CD" w:rsidRPr="00BA42CD" w:rsidRDefault="00BA42CD" w:rsidP="00BA42CD">
      <w:pPr>
        <w:spacing w:line="240" w:lineRule="auto"/>
        <w:ind w:left="2268"/>
        <w:jc w:val="both"/>
        <w:rPr>
          <w:rFonts w:ascii="Arial" w:hAnsi="Arial" w:cs="Arial"/>
        </w:rPr>
      </w:pPr>
      <w:r>
        <w:rPr>
          <w:rFonts w:ascii="Arial" w:hAnsi="Arial" w:cs="Arial"/>
          <w:shd w:val="clear" w:color="auto" w:fill="FFFFFF"/>
        </w:rPr>
        <w:lastRenderedPageBreak/>
        <w:t>... o</w:t>
      </w:r>
      <w:r w:rsidRPr="00BA42CD">
        <w:rPr>
          <w:rFonts w:ascii="Arial" w:hAnsi="Arial" w:cs="Arial"/>
          <w:shd w:val="clear" w:color="auto" w:fill="FFFFFF"/>
        </w:rPr>
        <w:t xml:space="preserve"> IBGE calcula que o país possua 5.972 localidades quilombolas, que estão divididas em 1.672 municípios brasileiros, mais que o dobro com localidades indígenas (827). (...</w:t>
      </w:r>
      <w:r w:rsidR="00AE5B0E" w:rsidRPr="00BA42CD">
        <w:rPr>
          <w:rFonts w:ascii="Arial" w:hAnsi="Arial" w:cs="Arial"/>
          <w:shd w:val="clear" w:color="auto" w:fill="FFFFFF"/>
        </w:rPr>
        <w:t>) Do</w:t>
      </w:r>
      <w:r w:rsidRPr="00BA42CD">
        <w:rPr>
          <w:rFonts w:ascii="Arial" w:hAnsi="Arial" w:cs="Arial"/>
          <w:shd w:val="clear" w:color="auto" w:fill="FFFFFF"/>
        </w:rPr>
        <w:t xml:space="preserve"> total de localidades, 404 são territórios oficialmente reconhecidos, 2.308 são denominados agrupamentos quilombolas e o restante, 3.260, identificados como outras localidades quilombolas. Entre os agrupamentos, 709 estão localizados dentro dos territórios quilombolas oficialmente delimitados e 1.599 fora dessas terras.</w:t>
      </w:r>
      <w:r>
        <w:rPr>
          <w:rFonts w:ascii="Arial" w:hAnsi="Arial" w:cs="Arial"/>
          <w:shd w:val="clear" w:color="auto" w:fill="FFFFFF"/>
        </w:rPr>
        <w:t xml:space="preserve"> (IBGE, 2012)</w:t>
      </w:r>
    </w:p>
    <w:p w:rsidR="00A87E91" w:rsidRDefault="00A87E91" w:rsidP="00BA42CD">
      <w:pPr>
        <w:jc w:val="both"/>
        <w:rPr>
          <w:rFonts w:ascii="Arial" w:hAnsi="Arial" w:cs="Arial"/>
          <w:sz w:val="24"/>
          <w:szCs w:val="24"/>
        </w:rPr>
      </w:pPr>
      <w:r>
        <w:rPr>
          <w:rFonts w:ascii="Arial" w:hAnsi="Arial" w:cs="Arial"/>
          <w:sz w:val="24"/>
          <w:szCs w:val="24"/>
        </w:rPr>
        <w:t>Para entender como se organizam espacialmente, sabe-se que u</w:t>
      </w:r>
      <w:r w:rsidR="00D9290E" w:rsidRPr="00D9290E">
        <w:rPr>
          <w:rFonts w:ascii="Arial" w:hAnsi="Arial" w:cs="Arial"/>
          <w:sz w:val="24"/>
          <w:szCs w:val="24"/>
        </w:rPr>
        <w:t xml:space="preserve">m aglomerado de habitações é conhecido por </w:t>
      </w:r>
      <w:r w:rsidR="00D9290E" w:rsidRPr="00D9290E">
        <w:rPr>
          <w:rFonts w:ascii="Arial" w:hAnsi="Arial" w:cs="Arial"/>
          <w:i/>
          <w:sz w:val="24"/>
          <w:szCs w:val="24"/>
        </w:rPr>
        <w:t>mocambos</w:t>
      </w:r>
      <w:r w:rsidR="00D9290E" w:rsidRPr="00D9290E">
        <w:rPr>
          <w:rFonts w:ascii="Arial" w:hAnsi="Arial" w:cs="Arial"/>
          <w:sz w:val="24"/>
          <w:szCs w:val="24"/>
        </w:rPr>
        <w:t xml:space="preserve"> e um quilombo é formado por uma série de mocambos. </w:t>
      </w:r>
      <w:r>
        <w:rPr>
          <w:rFonts w:ascii="Arial" w:hAnsi="Arial" w:cs="Arial"/>
          <w:sz w:val="24"/>
          <w:szCs w:val="24"/>
        </w:rPr>
        <w:t>Um quilombo pode contem até 50 grupos de habitações (mocambos).</w:t>
      </w:r>
    </w:p>
    <w:p w:rsidR="001B1DD7" w:rsidRPr="00D9290E" w:rsidRDefault="00D9290E" w:rsidP="00BA42CD">
      <w:pPr>
        <w:jc w:val="both"/>
        <w:rPr>
          <w:rFonts w:ascii="Arial" w:hAnsi="Arial" w:cs="Arial"/>
          <w:sz w:val="24"/>
          <w:szCs w:val="24"/>
        </w:rPr>
      </w:pPr>
      <w:r w:rsidRPr="00D9290E">
        <w:rPr>
          <w:rFonts w:ascii="Arial" w:hAnsi="Arial" w:cs="Arial"/>
          <w:sz w:val="24"/>
          <w:szCs w:val="24"/>
        </w:rPr>
        <w:t xml:space="preserve">Esse modelo de organização é fruto da necessidade de proteção do grupo e elemento importante de identificação étnica. Uma característica de implantação das unidades residenciais em comunidades quilombola </w:t>
      </w:r>
      <w:r w:rsidR="00A87E91">
        <w:rPr>
          <w:rFonts w:ascii="Arial" w:hAnsi="Arial" w:cs="Arial"/>
          <w:sz w:val="24"/>
          <w:szCs w:val="24"/>
        </w:rPr>
        <w:t>é o fato das habitações</w:t>
      </w:r>
      <w:r w:rsidR="003B6F84">
        <w:rPr>
          <w:rFonts w:ascii="Arial" w:hAnsi="Arial" w:cs="Arial"/>
          <w:sz w:val="24"/>
          <w:szCs w:val="24"/>
        </w:rPr>
        <w:t xml:space="preserve"> serem</w:t>
      </w:r>
      <w:r w:rsidRPr="00D9290E">
        <w:rPr>
          <w:rFonts w:ascii="Arial" w:hAnsi="Arial" w:cs="Arial"/>
          <w:sz w:val="24"/>
          <w:szCs w:val="24"/>
        </w:rPr>
        <w:t xml:space="preserve"> locadas distantes umas das outras (até 500 metros) e com a porta principal voltada para a estrada (ou trilha) de acesso. O isolamento </w:t>
      </w:r>
      <w:r w:rsidR="00A87E91">
        <w:rPr>
          <w:rFonts w:ascii="Arial" w:hAnsi="Arial" w:cs="Arial"/>
          <w:sz w:val="24"/>
          <w:szCs w:val="24"/>
        </w:rPr>
        <w:t xml:space="preserve">das unidades (e </w:t>
      </w:r>
      <w:r w:rsidRPr="00D9290E">
        <w:rPr>
          <w:rFonts w:ascii="Arial" w:hAnsi="Arial" w:cs="Arial"/>
          <w:sz w:val="24"/>
          <w:szCs w:val="24"/>
        </w:rPr>
        <w:t>do grupo</w:t>
      </w:r>
      <w:r w:rsidR="00A87E91">
        <w:rPr>
          <w:rFonts w:ascii="Arial" w:hAnsi="Arial" w:cs="Arial"/>
          <w:sz w:val="24"/>
          <w:szCs w:val="24"/>
        </w:rPr>
        <w:t>)</w:t>
      </w:r>
      <w:r w:rsidRPr="00D9290E">
        <w:rPr>
          <w:rFonts w:ascii="Arial" w:hAnsi="Arial" w:cs="Arial"/>
          <w:sz w:val="24"/>
          <w:szCs w:val="24"/>
        </w:rPr>
        <w:t>, de acordo com historiadores, é o que propicia a manutenção das tradições e costumes desses povos com linguajar, culinárias</w:t>
      </w:r>
      <w:r>
        <w:rPr>
          <w:rFonts w:ascii="Arial" w:hAnsi="Arial" w:cs="Arial"/>
          <w:sz w:val="24"/>
          <w:szCs w:val="24"/>
        </w:rPr>
        <w:t>, festas</w:t>
      </w:r>
      <w:r w:rsidRPr="00D9290E">
        <w:rPr>
          <w:rFonts w:ascii="Arial" w:hAnsi="Arial" w:cs="Arial"/>
          <w:sz w:val="24"/>
          <w:szCs w:val="24"/>
        </w:rPr>
        <w:t xml:space="preserve"> e rituais religiosos próprios (BAIOCCHI, 1999).</w:t>
      </w:r>
    </w:p>
    <w:p w:rsidR="00D9290E" w:rsidRPr="00D9290E" w:rsidRDefault="00D9290E" w:rsidP="00BA42CD">
      <w:pPr>
        <w:jc w:val="both"/>
        <w:rPr>
          <w:rFonts w:ascii="Arial" w:hAnsi="Arial" w:cs="Arial"/>
          <w:sz w:val="24"/>
          <w:szCs w:val="24"/>
        </w:rPr>
      </w:pPr>
      <w:r w:rsidRPr="00D9290E">
        <w:rPr>
          <w:rFonts w:ascii="Arial" w:hAnsi="Arial" w:cs="Arial"/>
          <w:sz w:val="24"/>
          <w:szCs w:val="24"/>
        </w:rPr>
        <w:t>As habitações quilombolas</w:t>
      </w:r>
      <w:r w:rsidR="00BA42CD">
        <w:rPr>
          <w:rFonts w:ascii="Arial" w:hAnsi="Arial" w:cs="Arial"/>
          <w:sz w:val="24"/>
          <w:szCs w:val="24"/>
        </w:rPr>
        <w:t>,</w:t>
      </w:r>
    </w:p>
    <w:p w:rsidR="00BA42CD" w:rsidRPr="00D9290E" w:rsidRDefault="00D9290E" w:rsidP="00E82875">
      <w:pPr>
        <w:spacing w:line="240" w:lineRule="auto"/>
        <w:ind w:left="2268"/>
        <w:jc w:val="both"/>
        <w:rPr>
          <w:rFonts w:ascii="Arial" w:hAnsi="Arial" w:cs="Arial"/>
        </w:rPr>
      </w:pPr>
      <w:r w:rsidRPr="00D9290E">
        <w:rPr>
          <w:rFonts w:ascii="Arial" w:hAnsi="Arial" w:cs="Arial"/>
        </w:rPr>
        <w:t>...foram construídas e, sua grande maioria com madeiras roliças trançadas e preenchidas com barro cru: a taipa de sopapo para as paredes internas e externas; e a palha para a cobertura. O piso era de chão batido. Os materiais usados nas construções das residências eram extraídos do local onde as habitações eram implantadas, variando assim de região para região. O tijolo de adobe também foi largamente utilizado, mais tarde em formas de tamanhos variados para a construção de paredes. Esquadrias de madeira de pequenas dimensões nas portas e janelas, também eram utilizadas, usando-se as madeiras locais. (BARRETO, 2006 pag. 34).</w:t>
      </w:r>
    </w:p>
    <w:p w:rsidR="00D9290E" w:rsidRDefault="003B6F84" w:rsidP="00BA42CD">
      <w:pPr>
        <w:autoSpaceDE w:val="0"/>
        <w:autoSpaceDN w:val="0"/>
        <w:adjustRightInd w:val="0"/>
        <w:spacing w:after="0"/>
        <w:jc w:val="both"/>
        <w:rPr>
          <w:rFonts w:ascii="Arial" w:hAnsi="Arial" w:cs="Arial"/>
          <w:sz w:val="24"/>
          <w:szCs w:val="24"/>
        </w:rPr>
      </w:pPr>
      <w:r>
        <w:rPr>
          <w:rFonts w:ascii="Arial" w:hAnsi="Arial" w:cs="Arial"/>
          <w:sz w:val="24"/>
          <w:szCs w:val="24"/>
        </w:rPr>
        <w:t>Outra</w:t>
      </w:r>
      <w:r w:rsidR="00D9290E">
        <w:rPr>
          <w:rFonts w:ascii="Arial" w:hAnsi="Arial" w:cs="Arial"/>
          <w:sz w:val="24"/>
          <w:szCs w:val="24"/>
        </w:rPr>
        <w:t xml:space="preserve"> característica da cultura dos quilombolas se refere ao modelo de r</w:t>
      </w:r>
      <w:r w:rsidR="00D9290E" w:rsidRPr="00D9290E">
        <w:rPr>
          <w:rFonts w:ascii="Arial" w:hAnsi="Arial" w:cs="Arial"/>
          <w:sz w:val="24"/>
          <w:szCs w:val="24"/>
        </w:rPr>
        <w:t xml:space="preserve">elações </w:t>
      </w:r>
      <w:r w:rsidR="00B11C27">
        <w:rPr>
          <w:rFonts w:ascii="Arial" w:hAnsi="Arial" w:cs="Arial"/>
          <w:sz w:val="24"/>
          <w:szCs w:val="24"/>
        </w:rPr>
        <w:t>sociais comu</w:t>
      </w:r>
      <w:r w:rsidR="00D9290E" w:rsidRPr="00D9290E">
        <w:rPr>
          <w:rFonts w:ascii="Arial" w:hAnsi="Arial" w:cs="Arial"/>
          <w:sz w:val="24"/>
          <w:szCs w:val="24"/>
        </w:rPr>
        <w:t>nais</w:t>
      </w:r>
      <w:r w:rsidR="00D9290E">
        <w:rPr>
          <w:rFonts w:ascii="Arial" w:hAnsi="Arial" w:cs="Arial"/>
          <w:sz w:val="24"/>
          <w:szCs w:val="24"/>
        </w:rPr>
        <w:t xml:space="preserve"> </w:t>
      </w:r>
      <w:r w:rsidR="004B4EC5">
        <w:rPr>
          <w:rFonts w:ascii="Arial" w:hAnsi="Arial" w:cs="Arial"/>
          <w:sz w:val="24"/>
          <w:szCs w:val="24"/>
        </w:rPr>
        <w:t>serem</w:t>
      </w:r>
      <w:r w:rsidR="00E82875">
        <w:rPr>
          <w:rFonts w:ascii="Arial" w:hAnsi="Arial" w:cs="Arial"/>
          <w:sz w:val="24"/>
          <w:szCs w:val="24"/>
        </w:rPr>
        <w:t xml:space="preserve"> muito forte </w:t>
      </w:r>
      <w:r w:rsidR="00D9290E">
        <w:rPr>
          <w:rFonts w:ascii="Arial" w:hAnsi="Arial" w:cs="Arial"/>
          <w:sz w:val="24"/>
          <w:szCs w:val="24"/>
        </w:rPr>
        <w:t>(grande senso de comunidade)</w:t>
      </w:r>
      <w:r w:rsidR="00222045">
        <w:rPr>
          <w:rFonts w:ascii="Arial" w:hAnsi="Arial" w:cs="Arial"/>
          <w:sz w:val="24"/>
          <w:szCs w:val="24"/>
        </w:rPr>
        <w:t>.</w:t>
      </w:r>
      <w:r w:rsidR="00D9290E">
        <w:rPr>
          <w:rFonts w:ascii="Arial" w:hAnsi="Arial" w:cs="Arial"/>
          <w:sz w:val="24"/>
          <w:szCs w:val="24"/>
        </w:rPr>
        <w:t xml:space="preserve"> </w:t>
      </w:r>
      <w:r w:rsidR="00E82875">
        <w:rPr>
          <w:rFonts w:ascii="Arial" w:hAnsi="Arial" w:cs="Arial"/>
          <w:sz w:val="24"/>
          <w:szCs w:val="24"/>
        </w:rPr>
        <w:t>Pode perceber isso n</w:t>
      </w:r>
      <w:r w:rsidR="00B11C27">
        <w:rPr>
          <w:rFonts w:ascii="Arial" w:hAnsi="Arial" w:cs="Arial"/>
          <w:sz w:val="24"/>
          <w:szCs w:val="24"/>
        </w:rPr>
        <w:t xml:space="preserve">a organização </w:t>
      </w:r>
      <w:r w:rsidR="00E82875">
        <w:rPr>
          <w:rFonts w:ascii="Arial" w:hAnsi="Arial" w:cs="Arial"/>
          <w:sz w:val="24"/>
          <w:szCs w:val="24"/>
        </w:rPr>
        <w:t xml:space="preserve">espacial </w:t>
      </w:r>
      <w:r w:rsidR="00B11C27">
        <w:rPr>
          <w:rFonts w:ascii="Arial" w:hAnsi="Arial" w:cs="Arial"/>
          <w:sz w:val="24"/>
          <w:szCs w:val="24"/>
        </w:rPr>
        <w:t>da locação das habitações no terreno</w:t>
      </w:r>
      <w:r w:rsidR="00E82875">
        <w:rPr>
          <w:rFonts w:ascii="Arial" w:hAnsi="Arial" w:cs="Arial"/>
          <w:sz w:val="24"/>
          <w:szCs w:val="24"/>
        </w:rPr>
        <w:t xml:space="preserve">. </w:t>
      </w:r>
      <w:r w:rsidR="00B11C27">
        <w:rPr>
          <w:rFonts w:ascii="Arial" w:hAnsi="Arial" w:cs="Arial"/>
          <w:sz w:val="24"/>
          <w:szCs w:val="24"/>
        </w:rPr>
        <w:t xml:space="preserve"> </w:t>
      </w:r>
      <w:r w:rsidR="00E82875">
        <w:rPr>
          <w:rFonts w:ascii="Arial" w:hAnsi="Arial" w:cs="Arial"/>
          <w:sz w:val="24"/>
          <w:szCs w:val="24"/>
        </w:rPr>
        <w:t>E</w:t>
      </w:r>
      <w:r w:rsidR="00222045">
        <w:rPr>
          <w:rFonts w:ascii="Arial" w:hAnsi="Arial" w:cs="Arial"/>
          <w:sz w:val="24"/>
          <w:szCs w:val="24"/>
        </w:rPr>
        <w:t xml:space="preserve">ncontram-se ambientes como </w:t>
      </w:r>
      <w:r w:rsidR="00B11C27">
        <w:rPr>
          <w:rFonts w:ascii="Arial" w:hAnsi="Arial" w:cs="Arial"/>
          <w:sz w:val="24"/>
          <w:szCs w:val="24"/>
        </w:rPr>
        <w:t xml:space="preserve">a </w:t>
      </w:r>
      <w:r w:rsidR="00222045" w:rsidRPr="00B11C27">
        <w:rPr>
          <w:rFonts w:ascii="Arial" w:hAnsi="Arial" w:cs="Arial"/>
          <w:i/>
          <w:sz w:val="24"/>
          <w:szCs w:val="24"/>
        </w:rPr>
        <w:t>casa do agregado, cas</w:t>
      </w:r>
      <w:r w:rsidR="00B11C27" w:rsidRPr="00B11C27">
        <w:rPr>
          <w:rFonts w:ascii="Arial" w:hAnsi="Arial" w:cs="Arial"/>
          <w:i/>
          <w:sz w:val="24"/>
          <w:szCs w:val="24"/>
        </w:rPr>
        <w:t>a de farinha, curral e roça</w:t>
      </w:r>
      <w:r w:rsidR="00B11C27">
        <w:rPr>
          <w:rFonts w:ascii="Arial" w:hAnsi="Arial" w:cs="Arial"/>
          <w:sz w:val="24"/>
          <w:szCs w:val="24"/>
        </w:rPr>
        <w:t xml:space="preserve"> (quintal), </w:t>
      </w:r>
      <w:r w:rsidR="00E82875">
        <w:rPr>
          <w:rFonts w:ascii="Arial" w:hAnsi="Arial" w:cs="Arial"/>
          <w:sz w:val="24"/>
          <w:szCs w:val="24"/>
        </w:rPr>
        <w:t>distribuídos de tal maneira que</w:t>
      </w:r>
      <w:r w:rsidR="00B11C27">
        <w:rPr>
          <w:rFonts w:ascii="Arial" w:hAnsi="Arial" w:cs="Arial"/>
          <w:sz w:val="24"/>
          <w:szCs w:val="24"/>
        </w:rPr>
        <w:t xml:space="preserve"> a casa do pai e da mãe </w:t>
      </w:r>
      <w:r w:rsidR="00E82875">
        <w:rPr>
          <w:rFonts w:ascii="Arial" w:hAnsi="Arial" w:cs="Arial"/>
          <w:sz w:val="24"/>
          <w:szCs w:val="24"/>
        </w:rPr>
        <w:t>é identificada como</w:t>
      </w:r>
      <w:r w:rsidR="00B11C27">
        <w:rPr>
          <w:rFonts w:ascii="Arial" w:hAnsi="Arial" w:cs="Arial"/>
          <w:sz w:val="24"/>
          <w:szCs w:val="24"/>
        </w:rPr>
        <w:t xml:space="preserve"> principal </w:t>
      </w:r>
      <w:r w:rsidR="00E82875">
        <w:rPr>
          <w:rFonts w:ascii="Arial" w:hAnsi="Arial" w:cs="Arial"/>
          <w:sz w:val="24"/>
          <w:szCs w:val="24"/>
        </w:rPr>
        <w:t>e por vezes, está no centro da locação do conjunto</w:t>
      </w:r>
      <w:r w:rsidR="00B11C27">
        <w:rPr>
          <w:rFonts w:ascii="Arial" w:hAnsi="Arial" w:cs="Arial"/>
          <w:sz w:val="24"/>
          <w:szCs w:val="24"/>
        </w:rPr>
        <w:t>.</w:t>
      </w:r>
      <w:r w:rsidR="00222045">
        <w:rPr>
          <w:rFonts w:ascii="Arial" w:hAnsi="Arial" w:cs="Arial"/>
          <w:sz w:val="24"/>
          <w:szCs w:val="24"/>
        </w:rPr>
        <w:t xml:space="preserve"> P</w:t>
      </w:r>
      <w:r w:rsidR="00D9290E">
        <w:rPr>
          <w:rFonts w:ascii="Arial" w:hAnsi="Arial" w:cs="Arial"/>
          <w:sz w:val="24"/>
          <w:szCs w:val="24"/>
        </w:rPr>
        <w:t>esquisa elaborada por Pereira (2011) indica o quintal das casas como espaço dos saberes: “</w:t>
      </w:r>
      <w:r w:rsidR="00D9290E" w:rsidRPr="00D9290E">
        <w:rPr>
          <w:rFonts w:ascii="Arial" w:hAnsi="Arial" w:cs="Arial"/>
          <w:sz w:val="24"/>
          <w:szCs w:val="24"/>
        </w:rPr>
        <w:t>É nele que a mulher, sobretudo, reproduz</w:t>
      </w:r>
      <w:r w:rsidR="00D9290E">
        <w:rPr>
          <w:rFonts w:ascii="Arial" w:hAnsi="Arial" w:cs="Arial"/>
          <w:sz w:val="24"/>
          <w:szCs w:val="24"/>
        </w:rPr>
        <w:t xml:space="preserve"> </w:t>
      </w:r>
      <w:r w:rsidR="00D9290E" w:rsidRPr="00D9290E">
        <w:rPr>
          <w:rFonts w:ascii="Arial" w:hAnsi="Arial" w:cs="Arial"/>
          <w:sz w:val="24"/>
          <w:szCs w:val="24"/>
        </w:rPr>
        <w:t>seus conhecimentos com as plantas, seja plantas medicinais ou alimentos</w:t>
      </w:r>
      <w:r w:rsidR="00AE5B0E">
        <w:rPr>
          <w:rFonts w:ascii="Arial" w:hAnsi="Arial" w:cs="Arial"/>
          <w:sz w:val="24"/>
          <w:szCs w:val="24"/>
        </w:rPr>
        <w:t>”</w:t>
      </w:r>
      <w:r w:rsidR="00D9290E">
        <w:rPr>
          <w:rFonts w:ascii="Arial" w:hAnsi="Arial" w:cs="Arial"/>
          <w:sz w:val="24"/>
          <w:szCs w:val="24"/>
        </w:rPr>
        <w:t xml:space="preserve"> (</w:t>
      </w:r>
      <w:r w:rsidR="00AE5B0E">
        <w:rPr>
          <w:rFonts w:ascii="Arial" w:hAnsi="Arial" w:cs="Arial"/>
          <w:sz w:val="24"/>
          <w:szCs w:val="24"/>
        </w:rPr>
        <w:t xml:space="preserve">PEREIRA, </w:t>
      </w:r>
      <w:r w:rsidR="00D9290E">
        <w:rPr>
          <w:rFonts w:ascii="Arial" w:hAnsi="Arial" w:cs="Arial"/>
          <w:sz w:val="24"/>
          <w:szCs w:val="24"/>
        </w:rPr>
        <w:t>2011 p 53)</w:t>
      </w:r>
      <w:r w:rsidR="00D9290E" w:rsidRPr="00D9290E">
        <w:rPr>
          <w:rFonts w:ascii="Arial" w:hAnsi="Arial" w:cs="Arial"/>
          <w:sz w:val="24"/>
          <w:szCs w:val="24"/>
        </w:rPr>
        <w:t>.</w:t>
      </w:r>
      <w:r w:rsidR="00BA42CD">
        <w:rPr>
          <w:rFonts w:ascii="Arial" w:hAnsi="Arial" w:cs="Arial"/>
          <w:sz w:val="24"/>
          <w:szCs w:val="24"/>
        </w:rPr>
        <w:t xml:space="preserve"> O autor destaca que:</w:t>
      </w:r>
    </w:p>
    <w:p w:rsidR="00D9290E" w:rsidRDefault="00D9290E" w:rsidP="00BA42CD">
      <w:pPr>
        <w:autoSpaceDE w:val="0"/>
        <w:autoSpaceDN w:val="0"/>
        <w:adjustRightInd w:val="0"/>
        <w:spacing w:after="0"/>
        <w:rPr>
          <w:rFonts w:ascii="Times New Roman" w:hAnsi="Times New Roman" w:cs="Times New Roman"/>
          <w:sz w:val="24"/>
          <w:szCs w:val="24"/>
        </w:rPr>
      </w:pPr>
    </w:p>
    <w:p w:rsidR="00D9290E" w:rsidRPr="00D9290E" w:rsidRDefault="00D9290E" w:rsidP="00BA42CD">
      <w:pPr>
        <w:autoSpaceDE w:val="0"/>
        <w:autoSpaceDN w:val="0"/>
        <w:adjustRightInd w:val="0"/>
        <w:spacing w:after="0" w:line="240" w:lineRule="auto"/>
        <w:ind w:left="2268"/>
        <w:jc w:val="both"/>
        <w:rPr>
          <w:rFonts w:ascii="Arial" w:hAnsi="Arial" w:cs="Arial"/>
        </w:rPr>
      </w:pPr>
      <w:r w:rsidRPr="00D9290E">
        <w:rPr>
          <w:rFonts w:ascii="Arial" w:hAnsi="Arial" w:cs="Arial"/>
        </w:rPr>
        <w:lastRenderedPageBreak/>
        <w:t>Os quintais Kalunga geralmente se encontram atrás das casas, onde as plantas podem ser observadas de forma quase sempre semelhantes. As plantas como milho, cana e mandioca são dispostas ao fundo e as plantas menores mais próximas da casa. Quando há hortas, estão no centro ou de um dos lados. Quanto a irrigação, é feita com água do rio, trazidas em latas ou bombeadas</w:t>
      </w:r>
      <w:r>
        <w:rPr>
          <w:rFonts w:ascii="Arial" w:hAnsi="Arial" w:cs="Arial"/>
        </w:rPr>
        <w:t xml:space="preserve"> (</w:t>
      </w:r>
      <w:r w:rsidR="00AE5B0E">
        <w:rPr>
          <w:rFonts w:ascii="Arial" w:hAnsi="Arial" w:cs="Arial"/>
          <w:sz w:val="24"/>
          <w:szCs w:val="24"/>
        </w:rPr>
        <w:t xml:space="preserve">PEREIRA, </w:t>
      </w:r>
      <w:r>
        <w:rPr>
          <w:rFonts w:ascii="Arial" w:hAnsi="Arial" w:cs="Arial"/>
          <w:sz w:val="24"/>
          <w:szCs w:val="24"/>
        </w:rPr>
        <w:t xml:space="preserve">2011 </w:t>
      </w:r>
      <w:r>
        <w:rPr>
          <w:rFonts w:ascii="Arial" w:hAnsi="Arial" w:cs="Arial"/>
        </w:rPr>
        <w:t>p.54</w:t>
      </w:r>
      <w:r w:rsidR="00AE5B0E">
        <w:rPr>
          <w:rFonts w:ascii="Arial" w:hAnsi="Arial" w:cs="Arial"/>
        </w:rPr>
        <w:t>).</w:t>
      </w:r>
    </w:p>
    <w:p w:rsidR="00D9290E" w:rsidRDefault="00D9290E" w:rsidP="00BA42CD">
      <w:pPr>
        <w:jc w:val="both"/>
        <w:rPr>
          <w:rFonts w:ascii="Arial" w:hAnsi="Arial" w:cs="Arial"/>
          <w:sz w:val="24"/>
          <w:szCs w:val="24"/>
        </w:rPr>
      </w:pPr>
    </w:p>
    <w:p w:rsidR="00D9290E" w:rsidRDefault="00D9290E" w:rsidP="00BA42CD">
      <w:pPr>
        <w:spacing w:after="0"/>
        <w:jc w:val="both"/>
        <w:rPr>
          <w:rFonts w:ascii="Arial" w:hAnsi="Arial" w:cs="Arial"/>
          <w:sz w:val="24"/>
          <w:szCs w:val="24"/>
        </w:rPr>
      </w:pPr>
      <w:r>
        <w:rPr>
          <w:rFonts w:ascii="Arial" w:hAnsi="Arial" w:cs="Arial"/>
          <w:noProof/>
          <w:sz w:val="24"/>
          <w:szCs w:val="24"/>
          <w:lang w:eastAsia="pt-BR"/>
        </w:rPr>
        <w:drawing>
          <wp:inline distT="0" distB="0" distL="0" distR="0">
            <wp:extent cx="2592126" cy="1942979"/>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593478" cy="1943992"/>
                    </a:xfrm>
                    <a:prstGeom prst="rect">
                      <a:avLst/>
                    </a:prstGeom>
                    <a:noFill/>
                    <a:ln w="9525">
                      <a:noFill/>
                      <a:miter lim="800000"/>
                      <a:headEnd/>
                      <a:tailEnd/>
                    </a:ln>
                  </pic:spPr>
                </pic:pic>
              </a:graphicData>
            </a:graphic>
          </wp:inline>
        </w:drawing>
      </w:r>
      <w:r w:rsidRPr="00D9290E">
        <w:rPr>
          <w:rFonts w:ascii="Arial" w:hAnsi="Arial" w:cs="Arial"/>
          <w:sz w:val="24"/>
          <w:szCs w:val="24"/>
        </w:rPr>
        <w:t xml:space="preserve"> </w:t>
      </w:r>
      <w:r>
        <w:rPr>
          <w:rFonts w:ascii="Arial" w:hAnsi="Arial" w:cs="Arial"/>
          <w:noProof/>
          <w:sz w:val="24"/>
          <w:szCs w:val="24"/>
          <w:lang w:eastAsia="pt-BR"/>
        </w:rPr>
        <w:drawing>
          <wp:inline distT="0" distB="0" distL="0" distR="0">
            <wp:extent cx="2596929" cy="1952679"/>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598715" cy="1954022"/>
                    </a:xfrm>
                    <a:prstGeom prst="rect">
                      <a:avLst/>
                    </a:prstGeom>
                    <a:noFill/>
                    <a:ln w="9525">
                      <a:noFill/>
                      <a:miter lim="800000"/>
                      <a:headEnd/>
                      <a:tailEnd/>
                    </a:ln>
                  </pic:spPr>
                </pic:pic>
              </a:graphicData>
            </a:graphic>
          </wp:inline>
        </w:drawing>
      </w:r>
    </w:p>
    <w:p w:rsidR="00D9290E" w:rsidRPr="00BA42CD" w:rsidRDefault="00AE5B0E" w:rsidP="00BA42CD">
      <w:pPr>
        <w:autoSpaceDE w:val="0"/>
        <w:autoSpaceDN w:val="0"/>
        <w:adjustRightInd w:val="0"/>
        <w:spacing w:after="0" w:line="240" w:lineRule="auto"/>
        <w:rPr>
          <w:rFonts w:ascii="Arial" w:hAnsi="Arial" w:cs="Arial"/>
          <w:sz w:val="20"/>
          <w:szCs w:val="20"/>
        </w:rPr>
      </w:pPr>
      <w:r w:rsidRPr="00BA42CD">
        <w:rPr>
          <w:rFonts w:ascii="Arial" w:hAnsi="Arial" w:cs="Arial"/>
          <w:sz w:val="20"/>
          <w:szCs w:val="20"/>
        </w:rPr>
        <w:t>Fig.</w:t>
      </w:r>
      <w:r w:rsidR="00D9290E" w:rsidRPr="00BA42CD">
        <w:rPr>
          <w:rFonts w:ascii="Arial" w:hAnsi="Arial" w:cs="Arial"/>
          <w:sz w:val="20"/>
          <w:szCs w:val="20"/>
        </w:rPr>
        <w:t xml:space="preserve"> 1 – Imagens de residência e quintal de casa Kalunga (PEREIRA, 2011).</w:t>
      </w:r>
    </w:p>
    <w:p w:rsidR="00D9290E" w:rsidRPr="00BA42CD" w:rsidRDefault="00D9290E" w:rsidP="00BA42CD">
      <w:pPr>
        <w:autoSpaceDE w:val="0"/>
        <w:autoSpaceDN w:val="0"/>
        <w:adjustRightInd w:val="0"/>
        <w:spacing w:after="0" w:line="240" w:lineRule="auto"/>
        <w:rPr>
          <w:rFonts w:ascii="Arial" w:hAnsi="Arial" w:cs="Arial"/>
          <w:sz w:val="20"/>
          <w:szCs w:val="20"/>
        </w:rPr>
      </w:pPr>
      <w:r w:rsidRPr="00BA42CD">
        <w:rPr>
          <w:rFonts w:ascii="Arial" w:hAnsi="Arial" w:cs="Arial"/>
          <w:sz w:val="20"/>
          <w:szCs w:val="20"/>
        </w:rPr>
        <w:t>Autoria: Bruno Magnum Pereira, 2010.</w:t>
      </w:r>
    </w:p>
    <w:p w:rsidR="00D9290E" w:rsidRPr="00D9290E" w:rsidRDefault="00D9290E" w:rsidP="00BA42CD">
      <w:pPr>
        <w:autoSpaceDE w:val="0"/>
        <w:autoSpaceDN w:val="0"/>
        <w:adjustRightInd w:val="0"/>
        <w:spacing w:after="0"/>
        <w:rPr>
          <w:rFonts w:ascii="Times New Roman" w:hAnsi="Times New Roman" w:cs="Times New Roman"/>
          <w:sz w:val="20"/>
          <w:szCs w:val="20"/>
        </w:rPr>
      </w:pPr>
    </w:p>
    <w:p w:rsidR="00D9290E" w:rsidRDefault="00D9290E" w:rsidP="00BA42CD">
      <w:pPr>
        <w:jc w:val="both"/>
        <w:rPr>
          <w:rFonts w:ascii="Arial" w:hAnsi="Arial" w:cs="Arial"/>
          <w:sz w:val="24"/>
          <w:szCs w:val="24"/>
        </w:rPr>
      </w:pPr>
      <w:r w:rsidRPr="00D9290E">
        <w:rPr>
          <w:rFonts w:ascii="Arial" w:hAnsi="Arial" w:cs="Arial"/>
          <w:sz w:val="24"/>
          <w:szCs w:val="24"/>
        </w:rPr>
        <w:t>A fonte de renda dos quilombolas é sustentada pela venda/produção de produtos artesanais, dinheiro recebido por trabalho no campo e aposentadoria</w:t>
      </w:r>
      <w:r>
        <w:rPr>
          <w:rFonts w:ascii="Arial" w:hAnsi="Arial" w:cs="Arial"/>
          <w:sz w:val="24"/>
          <w:szCs w:val="24"/>
        </w:rPr>
        <w:t xml:space="preserve">, sendo que a renda média mensal por habitação é inferior ao salário mínimo </w:t>
      </w:r>
      <w:r w:rsidR="00E1591C">
        <w:rPr>
          <w:rFonts w:ascii="Arial" w:hAnsi="Arial" w:cs="Arial"/>
          <w:sz w:val="24"/>
          <w:szCs w:val="24"/>
        </w:rPr>
        <w:t>atual (Barreto, 2006)</w:t>
      </w:r>
      <w:r w:rsidRPr="00D9290E">
        <w:rPr>
          <w:rFonts w:ascii="Arial" w:hAnsi="Arial" w:cs="Arial"/>
          <w:sz w:val="24"/>
          <w:szCs w:val="24"/>
        </w:rPr>
        <w:t xml:space="preserve">. </w:t>
      </w:r>
      <w:r w:rsidR="00E82875">
        <w:rPr>
          <w:rFonts w:ascii="Arial" w:hAnsi="Arial" w:cs="Arial"/>
          <w:sz w:val="24"/>
          <w:szCs w:val="24"/>
        </w:rPr>
        <w:t>Os quilombolas p</w:t>
      </w:r>
      <w:r w:rsidRPr="00D9290E">
        <w:rPr>
          <w:rFonts w:ascii="Arial" w:hAnsi="Arial" w:cs="Arial"/>
          <w:sz w:val="24"/>
          <w:szCs w:val="24"/>
        </w:rPr>
        <w:t>raticam o cultivo agrícola de subsistência</w:t>
      </w:r>
      <w:r>
        <w:rPr>
          <w:rFonts w:ascii="Arial" w:hAnsi="Arial" w:cs="Arial"/>
          <w:sz w:val="24"/>
          <w:szCs w:val="24"/>
        </w:rPr>
        <w:t xml:space="preserve">, sendo a mandioca, o arroz, a abóbora e o milho os principais cultivos e possuem </w:t>
      </w:r>
      <w:r w:rsidR="00E82875">
        <w:rPr>
          <w:rFonts w:ascii="Arial" w:hAnsi="Arial" w:cs="Arial"/>
          <w:sz w:val="24"/>
          <w:szCs w:val="24"/>
        </w:rPr>
        <w:t xml:space="preserve">também </w:t>
      </w:r>
      <w:r>
        <w:rPr>
          <w:rFonts w:ascii="Arial" w:hAnsi="Arial" w:cs="Arial"/>
          <w:sz w:val="24"/>
          <w:szCs w:val="24"/>
        </w:rPr>
        <w:t xml:space="preserve">criação de gado, cabra, porcos e galinhas. Com isso reforça-se a </w:t>
      </w:r>
      <w:r w:rsidR="00222045">
        <w:rPr>
          <w:rFonts w:ascii="Arial" w:hAnsi="Arial" w:cs="Arial"/>
          <w:sz w:val="24"/>
          <w:szCs w:val="24"/>
        </w:rPr>
        <w:t xml:space="preserve">estreita </w:t>
      </w:r>
      <w:r>
        <w:rPr>
          <w:rFonts w:ascii="Arial" w:hAnsi="Arial" w:cs="Arial"/>
          <w:sz w:val="24"/>
          <w:szCs w:val="24"/>
        </w:rPr>
        <w:t xml:space="preserve">relação </w:t>
      </w:r>
      <w:r w:rsidR="00222045">
        <w:rPr>
          <w:rFonts w:ascii="Arial" w:hAnsi="Arial" w:cs="Arial"/>
          <w:sz w:val="24"/>
          <w:szCs w:val="24"/>
        </w:rPr>
        <w:t>desses povos</w:t>
      </w:r>
      <w:r>
        <w:rPr>
          <w:rFonts w:ascii="Arial" w:hAnsi="Arial" w:cs="Arial"/>
          <w:sz w:val="24"/>
          <w:szCs w:val="24"/>
        </w:rPr>
        <w:t xml:space="preserve"> com a natureza e a dependência de fatores climáticos e geográficos </w:t>
      </w:r>
      <w:r w:rsidR="00222045">
        <w:rPr>
          <w:rFonts w:ascii="Arial" w:hAnsi="Arial" w:cs="Arial"/>
          <w:sz w:val="24"/>
          <w:szCs w:val="24"/>
        </w:rPr>
        <w:t xml:space="preserve">(hidrografia principalmente) </w:t>
      </w:r>
      <w:r>
        <w:rPr>
          <w:rFonts w:ascii="Arial" w:hAnsi="Arial" w:cs="Arial"/>
          <w:sz w:val="24"/>
          <w:szCs w:val="24"/>
        </w:rPr>
        <w:t>para sua sobrevivência.</w:t>
      </w:r>
    </w:p>
    <w:p w:rsidR="00E53920" w:rsidRDefault="00E1591C" w:rsidP="00BA42CD">
      <w:pPr>
        <w:jc w:val="both"/>
        <w:rPr>
          <w:rFonts w:ascii="Arial" w:hAnsi="Arial" w:cs="Arial"/>
          <w:sz w:val="24"/>
          <w:szCs w:val="24"/>
        </w:rPr>
      </w:pPr>
      <w:r>
        <w:rPr>
          <w:rFonts w:ascii="Arial" w:hAnsi="Arial" w:cs="Arial"/>
          <w:sz w:val="24"/>
          <w:szCs w:val="24"/>
        </w:rPr>
        <w:t>O Instituto Brasileiro de Geografia e Estatística – IBGE possu</w:t>
      </w:r>
      <w:r w:rsidR="00BA42CD">
        <w:rPr>
          <w:rFonts w:ascii="Arial" w:hAnsi="Arial" w:cs="Arial"/>
          <w:sz w:val="24"/>
          <w:szCs w:val="24"/>
        </w:rPr>
        <w:t xml:space="preserve">i publicações </w:t>
      </w:r>
      <w:r>
        <w:rPr>
          <w:rFonts w:ascii="Arial" w:hAnsi="Arial" w:cs="Arial"/>
          <w:sz w:val="24"/>
          <w:szCs w:val="24"/>
        </w:rPr>
        <w:t xml:space="preserve">sobre </w:t>
      </w:r>
      <w:r w:rsidR="00BA42CD">
        <w:rPr>
          <w:rFonts w:ascii="Arial" w:hAnsi="Arial" w:cs="Arial"/>
          <w:sz w:val="24"/>
          <w:szCs w:val="24"/>
        </w:rPr>
        <w:t>informações cadastrais localização</w:t>
      </w:r>
      <w:r>
        <w:rPr>
          <w:rFonts w:ascii="Arial" w:hAnsi="Arial" w:cs="Arial"/>
          <w:sz w:val="24"/>
          <w:szCs w:val="24"/>
        </w:rPr>
        <w:t xml:space="preserve"> dos povos indígenas e quilombolas reunidos em volume único -</w:t>
      </w:r>
      <w:r w:rsidR="00BA42CD">
        <w:rPr>
          <w:rFonts w:ascii="Arial" w:hAnsi="Arial" w:cs="Arial"/>
          <w:sz w:val="24"/>
          <w:szCs w:val="24"/>
        </w:rPr>
        <w:t xml:space="preserve"> </w:t>
      </w:r>
      <w:hyperlink r:id="rId6" w:history="1">
        <w:r w:rsidR="00BA42CD" w:rsidRPr="00C52A14">
          <w:rPr>
            <w:rStyle w:val="Hyperlink"/>
            <w:rFonts w:ascii="Arial" w:hAnsi="Arial" w:cs="Arial"/>
            <w:sz w:val="24"/>
            <w:szCs w:val="24"/>
          </w:rPr>
          <w:t>https://www.ibge.gov.br/geociencias/organizacao-do-territorio/tipologias-do-territorio/27480-base-de-informacoes-sobre-os-povos-indigenas-e-quilombolas</w:t>
        </w:r>
      </w:hyperlink>
      <w:r w:rsidR="00BA42CD">
        <w:rPr>
          <w:rFonts w:ascii="Arial" w:hAnsi="Arial" w:cs="Arial"/>
          <w:sz w:val="24"/>
          <w:szCs w:val="24"/>
        </w:rPr>
        <w:t xml:space="preserve">, assim como a Universidade Federal de Goiás possui em sua </w:t>
      </w:r>
      <w:r w:rsidR="00AE5B0E">
        <w:rPr>
          <w:rFonts w:ascii="Arial" w:hAnsi="Arial" w:cs="Arial"/>
          <w:sz w:val="24"/>
          <w:szCs w:val="24"/>
        </w:rPr>
        <w:t>biblioteca</w:t>
      </w:r>
      <w:r w:rsidR="00BA42CD">
        <w:rPr>
          <w:rFonts w:ascii="Arial" w:hAnsi="Arial" w:cs="Arial"/>
          <w:sz w:val="24"/>
          <w:szCs w:val="24"/>
        </w:rPr>
        <w:t xml:space="preserve"> virtual diversos volumes com pesquisa sobre a cultura Quilombola - </w:t>
      </w:r>
      <w:hyperlink r:id="rId7" w:history="1">
        <w:r w:rsidR="00AE5B0E" w:rsidRPr="00C52A14">
          <w:rPr>
            <w:rStyle w:val="Hyperlink"/>
            <w:rFonts w:ascii="Arial" w:hAnsi="Arial" w:cs="Arial"/>
            <w:sz w:val="24"/>
            <w:szCs w:val="24"/>
          </w:rPr>
          <w:t>https://www.bc.ufg.br</w:t>
        </w:r>
      </w:hyperlink>
      <w:r w:rsidR="00AE5B0E">
        <w:rPr>
          <w:rFonts w:ascii="Arial" w:hAnsi="Arial" w:cs="Arial"/>
          <w:sz w:val="24"/>
          <w:szCs w:val="24"/>
        </w:rPr>
        <w:t>.</w:t>
      </w:r>
    </w:p>
    <w:p w:rsidR="00AE5B0E" w:rsidRDefault="00AE5B0E" w:rsidP="00BA42CD">
      <w:pPr>
        <w:jc w:val="both"/>
        <w:rPr>
          <w:rFonts w:ascii="Arial" w:hAnsi="Arial" w:cs="Arial"/>
          <w:sz w:val="24"/>
          <w:szCs w:val="24"/>
        </w:rPr>
      </w:pPr>
    </w:p>
    <w:p w:rsidR="00AE5B0E" w:rsidRPr="00AE5B0E" w:rsidRDefault="00AE5B0E" w:rsidP="00AE5B0E">
      <w:pPr>
        <w:spacing w:after="0" w:line="240" w:lineRule="auto"/>
        <w:jc w:val="right"/>
        <w:rPr>
          <w:rFonts w:ascii="Arial" w:hAnsi="Arial" w:cs="Arial"/>
          <w:b/>
          <w:sz w:val="24"/>
          <w:szCs w:val="24"/>
        </w:rPr>
      </w:pPr>
      <w:r w:rsidRPr="00AE5B0E">
        <w:rPr>
          <w:rFonts w:ascii="Arial" w:hAnsi="Arial" w:cs="Arial"/>
          <w:b/>
          <w:sz w:val="24"/>
          <w:szCs w:val="24"/>
        </w:rPr>
        <w:t>Maria Ester de Souza</w:t>
      </w:r>
    </w:p>
    <w:p w:rsidR="00AE5B0E" w:rsidRPr="00AE5B0E" w:rsidRDefault="00AE5B0E" w:rsidP="00AE5B0E">
      <w:pPr>
        <w:spacing w:after="0" w:line="240" w:lineRule="auto"/>
        <w:jc w:val="right"/>
        <w:rPr>
          <w:rFonts w:ascii="Arial" w:hAnsi="Arial" w:cs="Arial"/>
          <w:b/>
          <w:sz w:val="24"/>
          <w:szCs w:val="24"/>
        </w:rPr>
      </w:pPr>
      <w:r w:rsidRPr="00AE5B0E">
        <w:rPr>
          <w:rFonts w:ascii="Arial" w:hAnsi="Arial" w:cs="Arial"/>
          <w:b/>
          <w:sz w:val="24"/>
          <w:szCs w:val="24"/>
        </w:rPr>
        <w:t>Coordenadora</w:t>
      </w:r>
    </w:p>
    <w:p w:rsidR="00AE5B0E" w:rsidRDefault="00AE5B0E" w:rsidP="00AE5B0E">
      <w:pPr>
        <w:spacing w:after="0" w:line="240" w:lineRule="auto"/>
        <w:jc w:val="right"/>
        <w:rPr>
          <w:rFonts w:ascii="Arial" w:hAnsi="Arial" w:cs="Arial"/>
          <w:b/>
          <w:sz w:val="24"/>
          <w:szCs w:val="24"/>
        </w:rPr>
      </w:pPr>
      <w:r w:rsidRPr="00AE5B0E">
        <w:rPr>
          <w:rFonts w:ascii="Arial" w:hAnsi="Arial" w:cs="Arial"/>
          <w:b/>
          <w:sz w:val="24"/>
          <w:szCs w:val="24"/>
        </w:rPr>
        <w:t>Assessoria de Relações Institucionais CAU/GO</w:t>
      </w:r>
    </w:p>
    <w:p w:rsidR="00AE5B0E" w:rsidRDefault="00AE5B0E" w:rsidP="00AE5B0E">
      <w:pPr>
        <w:spacing w:after="0" w:line="240" w:lineRule="auto"/>
        <w:jc w:val="right"/>
        <w:rPr>
          <w:rFonts w:ascii="Arial" w:hAnsi="Arial" w:cs="Arial"/>
          <w:b/>
          <w:sz w:val="24"/>
          <w:szCs w:val="24"/>
        </w:rPr>
      </w:pPr>
      <w:r>
        <w:rPr>
          <w:rFonts w:ascii="Arial" w:hAnsi="Arial" w:cs="Arial"/>
          <w:b/>
          <w:sz w:val="24"/>
          <w:szCs w:val="24"/>
        </w:rPr>
        <w:t>(62) 9 8258-0907</w:t>
      </w:r>
    </w:p>
    <w:p w:rsidR="00AE5B0E" w:rsidRDefault="00601D55" w:rsidP="00AE5B0E">
      <w:pPr>
        <w:spacing w:after="0" w:line="240" w:lineRule="auto"/>
        <w:jc w:val="right"/>
        <w:rPr>
          <w:rFonts w:ascii="Arial" w:hAnsi="Arial" w:cs="Arial"/>
          <w:b/>
          <w:sz w:val="24"/>
          <w:szCs w:val="24"/>
        </w:rPr>
      </w:pPr>
      <w:hyperlink r:id="rId8" w:history="1">
        <w:r w:rsidR="00AE5B0E" w:rsidRPr="00C52A14">
          <w:rPr>
            <w:rStyle w:val="Hyperlink"/>
            <w:rFonts w:ascii="Arial" w:hAnsi="Arial" w:cs="Arial"/>
            <w:b/>
            <w:sz w:val="24"/>
            <w:szCs w:val="24"/>
          </w:rPr>
          <w:t>projetos@caugo.gov.br</w:t>
        </w:r>
      </w:hyperlink>
    </w:p>
    <w:p w:rsidR="00AE5B0E" w:rsidRPr="00AE5B0E" w:rsidRDefault="00AE5B0E" w:rsidP="00AE5B0E">
      <w:pPr>
        <w:spacing w:after="0" w:line="240" w:lineRule="auto"/>
        <w:jc w:val="right"/>
        <w:rPr>
          <w:rFonts w:ascii="Arial" w:hAnsi="Arial" w:cs="Arial"/>
          <w:b/>
          <w:sz w:val="24"/>
          <w:szCs w:val="24"/>
        </w:rPr>
      </w:pPr>
    </w:p>
    <w:p w:rsidR="00AE5B0E" w:rsidRDefault="00AE5B0E" w:rsidP="00AE5B0E">
      <w:pPr>
        <w:spacing w:after="0" w:line="240" w:lineRule="auto"/>
        <w:jc w:val="both"/>
        <w:rPr>
          <w:rFonts w:ascii="Arial" w:hAnsi="Arial" w:cs="Arial"/>
          <w:sz w:val="24"/>
          <w:szCs w:val="24"/>
        </w:rPr>
      </w:pPr>
    </w:p>
    <w:p w:rsidR="00D9290E" w:rsidRDefault="00E53920" w:rsidP="00AE5B0E">
      <w:pPr>
        <w:spacing w:after="0"/>
        <w:jc w:val="both"/>
        <w:rPr>
          <w:rFonts w:ascii="Arial" w:hAnsi="Arial" w:cs="Arial"/>
          <w:sz w:val="24"/>
          <w:szCs w:val="24"/>
        </w:rPr>
      </w:pPr>
      <w:r>
        <w:rPr>
          <w:rFonts w:ascii="Arial" w:hAnsi="Arial" w:cs="Arial"/>
          <w:sz w:val="24"/>
          <w:szCs w:val="24"/>
        </w:rPr>
        <w:t>Referências:</w:t>
      </w:r>
    </w:p>
    <w:p w:rsidR="00222045" w:rsidRDefault="00222045" w:rsidP="00BA42CD">
      <w:pPr>
        <w:jc w:val="both"/>
        <w:rPr>
          <w:rFonts w:ascii="Arial" w:hAnsi="Arial" w:cs="Arial"/>
        </w:rPr>
      </w:pPr>
      <w:r w:rsidRPr="00E1591C">
        <w:rPr>
          <w:rFonts w:ascii="Arial" w:hAnsi="Arial" w:cs="Arial"/>
        </w:rPr>
        <w:t xml:space="preserve">Almeida, Maria Geralda (org.). </w:t>
      </w:r>
      <w:r w:rsidRPr="00E1591C">
        <w:rPr>
          <w:rFonts w:ascii="Arial" w:hAnsi="Arial" w:cs="Arial"/>
          <w:b/>
        </w:rPr>
        <w:t>O Território e a Comunidade Kalunga, quilombolas em diversos olhares</w:t>
      </w:r>
      <w:r w:rsidRPr="00E1591C">
        <w:rPr>
          <w:rFonts w:ascii="Arial" w:hAnsi="Arial" w:cs="Arial"/>
        </w:rPr>
        <w:t>. Goiânia: GRAFICA UFG, 2015.</w:t>
      </w:r>
    </w:p>
    <w:p w:rsidR="00BA42CD" w:rsidRPr="00E1591C" w:rsidRDefault="00E71CC4" w:rsidP="00BA42CD">
      <w:pPr>
        <w:jc w:val="both"/>
        <w:rPr>
          <w:rFonts w:ascii="Arial" w:hAnsi="Arial" w:cs="Arial"/>
        </w:rPr>
      </w:pPr>
      <w:r>
        <w:rPr>
          <w:rFonts w:ascii="Arial" w:hAnsi="Arial" w:cs="Arial"/>
        </w:rPr>
        <w:t xml:space="preserve">Baiocchi, Mari de Nazaré. </w:t>
      </w:r>
      <w:r w:rsidRPr="00E71CC4">
        <w:rPr>
          <w:rFonts w:ascii="Arial" w:hAnsi="Arial" w:cs="Arial"/>
          <w:i/>
        </w:rPr>
        <w:t>Kalunga, povo da terra</w:t>
      </w:r>
      <w:r>
        <w:rPr>
          <w:rFonts w:ascii="Arial" w:hAnsi="Arial" w:cs="Arial"/>
        </w:rPr>
        <w:t>. Brasília, Ministério da Justiça, 1999.</w:t>
      </w:r>
    </w:p>
    <w:p w:rsidR="00E1591C" w:rsidRPr="00E1591C" w:rsidRDefault="00D9290E" w:rsidP="00BA42CD">
      <w:pPr>
        <w:jc w:val="both"/>
        <w:rPr>
          <w:rFonts w:ascii="Arial" w:hAnsi="Arial" w:cs="Arial"/>
          <w:noProof/>
          <w:lang w:eastAsia="pt-BR"/>
        </w:rPr>
      </w:pPr>
      <w:r w:rsidRPr="00E1591C">
        <w:rPr>
          <w:rFonts w:ascii="Arial" w:hAnsi="Arial" w:cs="Arial"/>
          <w:noProof/>
          <w:lang w:eastAsia="pt-BR"/>
        </w:rPr>
        <w:t xml:space="preserve">Barreto, Jônatas N. </w:t>
      </w:r>
      <w:r w:rsidRPr="00E1591C">
        <w:rPr>
          <w:rFonts w:ascii="Arial" w:hAnsi="Arial" w:cs="Arial"/>
          <w:i/>
          <w:noProof/>
          <w:lang w:eastAsia="pt-BR"/>
        </w:rPr>
        <w:t>Implantação de Infra-estrutura Habitacional em Comunidades Tradicionais: o Caso da Comunidade Quilombola Kalunga</w:t>
      </w:r>
      <w:r w:rsidRPr="00E1591C">
        <w:rPr>
          <w:rFonts w:ascii="Arial" w:hAnsi="Arial" w:cs="Arial"/>
          <w:noProof/>
          <w:lang w:eastAsia="pt-BR"/>
        </w:rPr>
        <w:t>. Dissertação de Mestrado, Universidade de Brasília,Faculdade de Arquitetura e Urbanismo. Brasilia, 2006.</w:t>
      </w:r>
    </w:p>
    <w:p w:rsidR="00D9290E" w:rsidRPr="00BA42CD" w:rsidRDefault="00D9290E" w:rsidP="00BA42CD">
      <w:pPr>
        <w:jc w:val="both"/>
        <w:rPr>
          <w:rFonts w:ascii="Arial" w:hAnsi="Arial" w:cs="Arial"/>
        </w:rPr>
      </w:pPr>
      <w:r w:rsidRPr="00E1591C">
        <w:rPr>
          <w:rFonts w:ascii="Arial" w:hAnsi="Arial" w:cs="Arial"/>
        </w:rPr>
        <w:t xml:space="preserve">Pereira, Bruno M.; Almeida, Maria Geralda. </w:t>
      </w:r>
      <w:r w:rsidRPr="00E1591C">
        <w:rPr>
          <w:rFonts w:ascii="Arial" w:hAnsi="Arial" w:cs="Arial"/>
          <w:i/>
        </w:rPr>
        <w:t>O Quintal Kalunga Como Lugar e Espaço de Saberes</w:t>
      </w:r>
      <w:r w:rsidRPr="00E1591C">
        <w:rPr>
          <w:rFonts w:ascii="Arial" w:hAnsi="Arial" w:cs="Arial"/>
        </w:rPr>
        <w:t>. Geonordeste, Ano XXII, n2.</w:t>
      </w:r>
    </w:p>
    <w:sectPr w:rsidR="00D9290E" w:rsidRPr="00BA42CD" w:rsidSect="0017631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2E1B2B"/>
    <w:rsid w:val="00035122"/>
    <w:rsid w:val="0017631D"/>
    <w:rsid w:val="001B1DD7"/>
    <w:rsid w:val="00222045"/>
    <w:rsid w:val="002547B4"/>
    <w:rsid w:val="002E1B2B"/>
    <w:rsid w:val="003B6F84"/>
    <w:rsid w:val="004513C2"/>
    <w:rsid w:val="004B4EC5"/>
    <w:rsid w:val="00601D55"/>
    <w:rsid w:val="00660D3E"/>
    <w:rsid w:val="00740CEE"/>
    <w:rsid w:val="00A87E91"/>
    <w:rsid w:val="00AA6782"/>
    <w:rsid w:val="00AE5B0E"/>
    <w:rsid w:val="00B11C27"/>
    <w:rsid w:val="00BA42CD"/>
    <w:rsid w:val="00D9290E"/>
    <w:rsid w:val="00E1591C"/>
    <w:rsid w:val="00E53920"/>
    <w:rsid w:val="00E71CC4"/>
    <w:rsid w:val="00E82875"/>
    <w:rsid w:val="00ED5C5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31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40C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0CEE"/>
    <w:rPr>
      <w:rFonts w:ascii="Tahoma" w:hAnsi="Tahoma" w:cs="Tahoma"/>
      <w:sz w:val="16"/>
      <w:szCs w:val="16"/>
    </w:rPr>
  </w:style>
  <w:style w:type="character" w:styleId="Hyperlink">
    <w:name w:val="Hyperlink"/>
    <w:basedOn w:val="Fontepargpadro"/>
    <w:uiPriority w:val="99"/>
    <w:unhideWhenUsed/>
    <w:rsid w:val="00BA42C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jetos@caugo.gov.br" TargetMode="External"/><Relationship Id="rId3" Type="http://schemas.openxmlformats.org/officeDocument/2006/relationships/webSettings" Target="webSettings.xml"/><Relationship Id="rId7" Type="http://schemas.openxmlformats.org/officeDocument/2006/relationships/hyperlink" Target="https://www.bc.ufg.b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bge.gov.br/geociencias/organizacao-do-territorio/tipologias-do-territorio/27480-base-de-informacoes-sobre-os-povos-indigenas-e-quilombolas" TargetMode="Externa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4</Pages>
  <Words>1196</Words>
  <Characters>6462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Dorea</dc:creator>
  <cp:keywords/>
  <dc:description/>
  <cp:lastModifiedBy>Dorea</cp:lastModifiedBy>
  <cp:revision>12</cp:revision>
  <dcterms:created xsi:type="dcterms:W3CDTF">2021-07-13T19:59:00Z</dcterms:created>
  <dcterms:modified xsi:type="dcterms:W3CDTF">2021-07-15T17:37:00Z</dcterms:modified>
</cp:coreProperties>
</file>