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ACORDO COLETIVO DE</w:t>
      </w:r>
      <w:r>
        <w:rPr>
          <w:rFonts w:ascii="Arial" w:hAnsi="Arial" w:cs="Arial"/>
          <w:b/>
          <w:bCs/>
          <w:strike/>
        </w:rPr>
        <w:t xml:space="preserve"> </w:t>
      </w:r>
      <w:r>
        <w:rPr>
          <w:rFonts w:ascii="Arial" w:hAnsi="Arial" w:cs="Arial"/>
          <w:b/>
          <w:bCs/>
        </w:rPr>
        <w:t>TRABALHO</w:t>
      </w:r>
    </w:p>
    <w:p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CONSELHO DE ARQUITETURA E URBANISMO DE GOIÁS (CAU/GO) </w:t>
      </w:r>
    </w:p>
    <w:p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2024/2025</w:t>
      </w:r>
    </w:p>
    <w:p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ACORDO DE CONDIÇÕES SALARIAIS E DE TRABALHO que entre si celebram os servidores do</w:t>
      </w:r>
      <w:r>
        <w:rPr>
          <w:rFonts w:ascii="Arial" w:hAnsi="Arial" w:cs="Arial"/>
          <w:b/>
          <w:bCs/>
        </w:rPr>
        <w:t xml:space="preserve"> CONSELHO DE ARQUITETURA E URBANISMO DE GOIÁS-CAU/GO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representados pelo </w:t>
      </w:r>
      <w:r>
        <w:rPr>
          <w:rFonts w:ascii="Arial" w:hAnsi="Arial" w:cs="Arial"/>
          <w:b/>
        </w:rPr>
        <w:t>SINDICATO DOS SERVIDORES EM CONSELHOS E ORDENS DE FISCALIZAÇÃO PROFISSIONAL E ENTIDADES COLIGADAS E AFINS DO ESTADO DE GOIÁS – SINDECOF-GO</w:t>
      </w:r>
      <w:r>
        <w:rPr>
          <w:rFonts w:ascii="Arial" w:hAnsi="Arial" w:cs="Arial"/>
        </w:rPr>
        <w:t xml:space="preserve">, CNPJ 00.709.746/0001-79, estabelecido à Av. Anhanguera, nº 5.389, sala 1702, Setor Central – Goiânia-GO, neste ato representado pelo Presidente Sandro da Silva Marques, e o </w:t>
      </w:r>
      <w:r>
        <w:rPr>
          <w:rFonts w:ascii="Arial" w:hAnsi="Arial" w:cs="Arial"/>
          <w:b/>
        </w:rPr>
        <w:t>CONSELHO DE ARQUITETURA E URBANISMO DE GOIÁS-CAU/GO,</w:t>
      </w:r>
      <w:r>
        <w:rPr>
          <w:rFonts w:ascii="Arial" w:hAnsi="Arial" w:cs="Arial"/>
        </w:rPr>
        <w:t xml:space="preserve"> CNPJ 14.896.563/0001-14 neste ato representado pela Presidente </w:t>
      </w:r>
      <w:r>
        <w:rPr>
          <w:rFonts w:ascii="Arial" w:hAnsi="Arial" w:eastAsia="Arial" w:cs="Arial"/>
        </w:rPr>
        <w:t xml:space="preserve">Simone Buiate Brandão, </w:t>
      </w:r>
      <w:r>
        <w:rPr>
          <w:rFonts w:ascii="Arial" w:hAnsi="Arial" w:cs="Arial"/>
        </w:rPr>
        <w:t>estabelecido na Av. Engenheiro Eurico Viana, n°. 25, 3° andar, Edifício Concept Office, Vila Maria José – Goiânia/GO, mediante as condições e cláusulas a seguir: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PRIMEIRA: ABRANGÊNCIA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Acordo de Trabalho aplica-se no âmbito da autarquia acordante, abrangendo a categoria dos empregados do Conselho de Arquitetura e Urbanismo de Goiás.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SEGUNDA: VIGÊNCIA E DATA-BASE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</w:rPr>
        <w:t>Fica definido entre as partes que as cláusulas deste Acordo terão vigência de 1º de maio de 2024 a 28 de fevereiro de 2025, sendo que a</w:t>
      </w:r>
      <w:r>
        <w:rPr>
          <w:rFonts w:ascii="Arial" w:hAnsi="Arial" w:cs="Arial"/>
        </w:rPr>
        <w:t xml:space="preserve"> data base dos empregados (as) do CAU/GO é </w:t>
      </w:r>
      <w:r>
        <w:rPr>
          <w:rFonts w:ascii="Arial" w:hAnsi="Arial" w:cs="Arial"/>
          <w:b/>
          <w:bCs/>
        </w:rPr>
        <w:t>1º de março</w:t>
      </w:r>
      <w:r>
        <w:rPr>
          <w:rFonts w:ascii="Arial" w:hAnsi="Arial" w:cs="Arial"/>
        </w:rPr>
        <w:t xml:space="preserve"> de cada ano.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TERCEIRA: REAJUSTE SALARIAL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CAU/GO fará o reajuste salarial no percentual que corresponde a </w:t>
      </w:r>
      <w:r>
        <w:rPr>
          <w:rFonts w:ascii="Arial" w:hAnsi="Arial" w:cs="Arial"/>
          <w:b/>
          <w:bCs/>
        </w:rPr>
        <w:t>6 % (seis por cento).</w:t>
      </w:r>
      <w:r>
        <w:rPr>
          <w:rFonts w:ascii="Arial" w:hAnsi="Arial" w:cs="Arial"/>
        </w:rPr>
        <w:t xml:space="preserve"> 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pStyle w:val="2"/>
      </w:pPr>
      <w:r>
        <w:t>CLÁUSULA QUARTA: ALIMENTAÇÃO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CAU/GO fornecerá a seus empregados mensalmente crédito alimentício e/ou crédito refeição no valor total de R$ </w:t>
      </w:r>
      <w:r>
        <w:rPr>
          <w:rFonts w:ascii="Arial" w:hAnsi="Arial" w:cs="Arial"/>
          <w:b/>
          <w:bCs/>
        </w:rPr>
        <w:t>1.200,00 (mil e duzentos reais)</w:t>
      </w:r>
      <w:r>
        <w:rPr>
          <w:rFonts w:ascii="Arial" w:hAnsi="Arial" w:cs="Arial"/>
        </w:rPr>
        <w:t xml:space="preserve"> através de contrato com empresa administradora de cartões, sendo que essa parcela não constitui salário in natura. 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1º: </w:t>
      </w:r>
      <w:r>
        <w:rPr>
          <w:rStyle w:val="14"/>
          <w:rFonts w:ascii="Arial" w:hAnsi="Arial" w:cs="Arial"/>
        </w:rPr>
        <w:t>O crédito alimentício/refeição será concedido, inclusive, em períodos de afastamentos como: férias, licença-maternidade e paternidade e licença por motivo de doença.</w:t>
      </w:r>
    </w:p>
    <w:p>
      <w:pPr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2º: </w:t>
      </w:r>
      <w:r>
        <w:rPr>
          <w:rStyle w:val="14"/>
          <w:rFonts w:ascii="Arial" w:hAnsi="Arial" w:cs="Arial"/>
        </w:rPr>
        <w:t>Haverá contrapartida financeira dos empregados de 2% sobre o valor do benefício, descontados em folha.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3º: </w:t>
      </w:r>
      <w:r>
        <w:rPr>
          <w:rStyle w:val="14"/>
          <w:rFonts w:ascii="Arial" w:hAnsi="Arial" w:cs="Arial"/>
        </w:rPr>
        <w:t>O benefício será concedido a todos os empregados do CAU/GO, efetivos e de livre provimento e demissão. Aos estagiários, será concedido o vale- alimentação/refeição com percentual de 50% (cinquenta por cento) do valor concedido aos empregados.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4º: </w:t>
      </w:r>
      <w:r>
        <w:rPr>
          <w:rStyle w:val="14"/>
          <w:rFonts w:ascii="Arial" w:hAnsi="Arial" w:cs="Arial"/>
        </w:rPr>
        <w:t>No mês de admissão, o valor do crédito alimentício/refeição será proporcional, levando em consideração a data do primeiro dia trabalhado e o último dia do mês.</w:t>
      </w:r>
    </w:p>
    <w:p>
      <w:pPr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5º: </w:t>
      </w:r>
      <w:r>
        <w:rPr>
          <w:rStyle w:val="14"/>
          <w:rFonts w:ascii="Arial" w:hAnsi="Arial" w:cs="Arial"/>
        </w:rPr>
        <w:t>Os créditos inseridos nos cartões eletrônicos, se não utilizados dentro do mês de competência, deverão obrigatoriamente somar-se aos próximos créditos do empregado.</w:t>
      </w:r>
    </w:p>
    <w:p>
      <w:pPr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6º: </w:t>
      </w:r>
      <w:r>
        <w:rPr>
          <w:rStyle w:val="14"/>
          <w:rFonts w:ascii="Arial" w:hAnsi="Arial" w:cs="Arial"/>
        </w:rPr>
        <w:t>Na ocorrência de rescisão contratual não haverá desconto do vale alimentação já depositado para o empregado.</w:t>
      </w:r>
    </w:p>
    <w:p>
      <w:pPr>
        <w:spacing w:after="0" w:line="360" w:lineRule="auto"/>
        <w:jc w:val="both"/>
        <w:rPr>
          <w:rStyle w:val="14"/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CLÁUSULA QUINTA: REEMBOLSO DE PLANO DE SAÚDE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empregados que mantiverem contrato com empresa privada de plano de saúde para assistência médica e/ou odontológica ou tiverem gastos com saúde (consultas médicas, odontólogas e exames) poderão, se assim o desejarem, ser reembolsados, mediante comprovação de gastos exclusivamente com plano de saúde ou com gastos em saúde, no valor máximo </w:t>
      </w:r>
      <w:r>
        <w:rPr>
          <w:rFonts w:ascii="Arial" w:hAnsi="Arial" w:cs="Arial"/>
          <w:b/>
          <w:bCs/>
        </w:rPr>
        <w:t>R$ 400,00 (quatrocentos reais)</w:t>
      </w:r>
      <w:r>
        <w:rPr>
          <w:rFonts w:ascii="Arial" w:hAnsi="Arial" w:cs="Arial"/>
        </w:rPr>
        <w:t xml:space="preserve"> mensais por empregado.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1º: O benefício será concedido a todos os empregados do CAU/GO, efetivos e de livre provimento e demissão.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2º: Cônjuges, companheiros ou afins e/ou pais e/ou filhos do(a) empregado(a) poderão ser contemplados pelo benefício de reembolso saúde, desde que dentro do limite mensal conferido ao empregado, conforme disposto no caput desta cláusula.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3º: O reembolso saúde será concedido mediante solicitação formal do empregado e: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 Para empregados e/ou seus cônjuges, companheiros ou afins e/ou pais e/ou filhos que mantiverem contrato com empresa privada de plano de saúde, mediante apresentação do comprovante de pagamento do plano de saúde pelo empregado, referente ao mês anterior, até o dia 10 do mês corrente, para a Gerência de Administração e Recursos Humanos.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 Para empregados e/ou seus cônjuges, companheiros ou afins e/ou pais e/ou filhos que não mantiverem contrato com empresa privada de plano de saúde, mediante apresentação das notas fiscais com gastos em saúde (médico, odontólogo e exames) pelo empregado, referente ao mês anterior, até o dia 10 do mês corrente, para a Gerência de Administração e Recursos Humanos.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4º: Quando o valor total do plano de saúde ou de gastos com saúde for inferior a R$ 400,00 (quatrocentos reais), o reembolso será no valor da totalidade do plano de saúde e/ou de gastos com saúde, mesmo que seja menor que o valor máximo estimado.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5º: O reembolso saúde será concedido em períodos de afastamentos como licença-maternidade e paternidade e licença por motivo de doença, desde que solicitação seja realizada conforme o terceiro parágrafo desta cláusula.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6: O reembolso não tem caráter cumulativo. Caso o empregado não apresente a solicitação e o comprovante dentro do prazo previsto, não poderá solicitar posteriormente. Salvo por motivo de doença grave que o impeça de enviar conforme o terceiro parágrafo. Nestes casos, o empregado deverá apresentar a solicitação e o comprovante em até 5 dias úteis depois do seu retorno ao trabalho.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7º: No mês de admissão, o reembolso saúde será proporcional, levando em consideração a data do primeiro dia trabalhado e o último dia do mês.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8º: Na rescisão, o reembolso será devido apenas sobre o último mês integralmente trabalhado e com a apresentação da comprovação de pagamento do plano de saúde ou de gastos com saúde antes da data da rescisão.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9º: Gastos com medicamentos não serão ressarcidos em nenhuma hipótese.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CLÁUSULA SEXTA: CURSO DE APERFEIÇOAMENTO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CAU/GO patrocinará a participação de seus empregados em eventos intelectuais e cursos de capacitação técnica, quando se comprovar a necessidade da capacitação, houver previsão orçamentária e quando estiver dentro do limite estabelecido pelas diretrizes orçamentárias do ano vigente.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SÉTIMA: JORNADA DE TRABALHO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jornada de trabalho dos empregados do CAU/GO é de 150 horas mensais, sendo 30 horas semanais.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1º:</w:t>
      </w:r>
      <w:r>
        <w:rPr>
          <w:rStyle w:val="14"/>
          <w:rFonts w:ascii="Arial" w:hAnsi="Arial" w:cs="Arial"/>
        </w:rPr>
        <w:t xml:space="preserve"> Poderá haver redução ou aumento da jornada de trabalho de comum acordo entre empregado/empregador com limites de 150 (cento e cinquenta) até 200 (duzentas) horas mensais.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2º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Por interesse do empregado: O interessado deverá fazer requerimento fundamentado com comprovação do interesse de alteração de carga horária ao empregador informando o período desejado para o aumento ou redução solicitado; </w:t>
      </w:r>
    </w:p>
    <w:p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Style w:val="14"/>
          <w:rFonts w:ascii="Arial" w:hAnsi="Arial" w:cs="Arial"/>
          <w:b/>
          <w:bCs/>
        </w:rPr>
        <w:t>§ 3º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Por interesse do empregador: O CAU/GO deverá propor a alteração de carga horária ao empregado, justificando sempre a demanda e informando o período para o aumento ou redução solicitado;</w:t>
      </w:r>
    </w:p>
    <w:p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Style w:val="14"/>
          <w:rFonts w:ascii="Arial" w:hAnsi="Arial" w:cs="Arial"/>
          <w:b/>
          <w:bCs/>
        </w:rPr>
        <w:t>§ 4º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A redução ou aumento de carga horária deverá ser solicitada com 15 (quinze) dias de antecedência, por parte do empregado. O CAU/GO poderá acatar ou não alteração da jornada.</w:t>
      </w:r>
    </w:p>
    <w:p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Style w:val="14"/>
          <w:rFonts w:ascii="Arial" w:hAnsi="Arial" w:cs="Arial"/>
          <w:b/>
          <w:bCs/>
        </w:rPr>
        <w:t>§ 5º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A redução ou aumento de carga horária deverá ser proposta com 15 (quinze) dias de antecedência, por parte do CAU/GO. O aumento da jornada poderá ser acatado ou não pelo empregado. A redução da jornada somente será realizada somente de forma justificada pelo CAU/GO.</w:t>
      </w:r>
    </w:p>
    <w:p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Style w:val="14"/>
          <w:rFonts w:ascii="Arial" w:hAnsi="Arial" w:cs="Arial"/>
          <w:b/>
          <w:bCs/>
        </w:rPr>
        <w:t>§ 6º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O CAU/GO concederá intervalo intrajornada</w:t>
      </w:r>
      <w:r>
        <w:rPr>
          <w:rFonts w:ascii="Arial" w:hAnsi="Arial" w:cs="Arial"/>
          <w:shd w:val="clear" w:color="auto" w:fill="FFFFFF"/>
        </w:rPr>
        <w:t xml:space="preserve"> no limite mínimo de 30 (trinta) minutos e máximo de 2 (duas) horas para jornadas superiores a 6 (seis) horas diárias.</w:t>
      </w:r>
    </w:p>
    <w:p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Style w:val="14"/>
          <w:rFonts w:ascii="Arial" w:hAnsi="Arial" w:cs="Arial"/>
          <w:b/>
          <w:bCs/>
        </w:rPr>
        <w:t>§ 7º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O CAU/GO concederá intervalo intrajornada</w:t>
      </w:r>
      <w:r>
        <w:rPr>
          <w:rFonts w:ascii="Arial" w:hAnsi="Arial" w:cs="Arial"/>
          <w:shd w:val="clear" w:color="auto" w:fill="FFFFFF"/>
        </w:rPr>
        <w:t xml:space="preserve"> de 15 (quinze) minutos para jornadas de 6 (seis) horas diárias.</w:t>
      </w:r>
    </w:p>
    <w:p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CLÁUSULA OITAVA: DA SISTEMÁTICA DE COMPENSAÇÃO – BANCO DE HORAS</w:t>
      </w:r>
    </w:p>
    <w:p>
      <w:pPr>
        <w:tabs>
          <w:tab w:val="left" w:pos="2492"/>
        </w:tabs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</w:rPr>
        <w:t>Serão consideradas como horas de crédito as horas que o empregado trabalhar a mais do que sua jornada normal de trabalho e ainda não tenham sido compensadas no período e horas de débito as horas que o empregado deixou de trabalhar, considerada a sua jornada normal de trabalho.</w:t>
      </w:r>
    </w:p>
    <w:p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1º: </w:t>
      </w:r>
      <w:r>
        <w:rPr>
          <w:rStyle w:val="14"/>
          <w:rFonts w:ascii="Arial" w:hAnsi="Arial" w:cs="Arial"/>
        </w:rPr>
        <w:t>A compensação obedecerá a proporção “hora por hora”, isto é, 1 (uma) hora de trabalho para 1 (uma) hora de descanso, inclusive para eventuais horas trabalhadas ou descansadas no período noturno.</w:t>
      </w:r>
    </w:p>
    <w:p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2º:</w:t>
      </w:r>
      <w:r>
        <w:rPr>
          <w:rStyle w:val="14"/>
          <w:rFonts w:ascii="Arial" w:hAnsi="Arial" w:cs="Arial"/>
        </w:rPr>
        <w:t xml:space="preserve"> O labor das horas suplementares para fins de banco de horas a partir de 15 (quinze) minutos deve ser autorizado pelo superior hierárquico previamente ou posteriormente, desde que o empregado apresente justificativa.</w:t>
      </w:r>
    </w:p>
    <w:p>
      <w:pPr>
        <w:tabs>
          <w:tab w:val="left" w:pos="2492"/>
        </w:tabs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3º:</w:t>
      </w:r>
      <w:r>
        <w:rPr>
          <w:rStyle w:val="14"/>
          <w:rFonts w:ascii="Arial" w:hAnsi="Arial" w:cs="Arial"/>
        </w:rPr>
        <w:t xml:space="preserve"> O empregado com saldo negativo que desejar compensar as horas contidas no banco de horas deverá solicitar anuência prévia do superior hierárquico, sob pena de ter sua ausência considerada como falta.</w:t>
      </w:r>
    </w:p>
    <w:p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4º:</w:t>
      </w:r>
      <w:r>
        <w:rPr>
          <w:rStyle w:val="14"/>
          <w:rFonts w:ascii="Arial" w:hAnsi="Arial" w:cs="Arial"/>
        </w:rPr>
        <w:t xml:space="preserve"> As horas e reflexos legais resultantes de ausências totais ou parciais na jornada de trabalho serão descontadas na folha de pagamento do empregado, caso não haja anuência do superior hierárquico.</w:t>
      </w:r>
    </w:p>
    <w:p>
      <w:pPr>
        <w:tabs>
          <w:tab w:val="left" w:pos="2492"/>
        </w:tabs>
        <w:spacing w:after="0" w:line="360" w:lineRule="auto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5º:</w:t>
      </w:r>
      <w:r>
        <w:rPr>
          <w:rStyle w:val="14"/>
          <w:rFonts w:ascii="Arial" w:hAnsi="Arial" w:cs="Arial"/>
        </w:rPr>
        <w:t xml:space="preserve"> Sobre o fechamento dos créditos e débitos:</w:t>
      </w:r>
    </w:p>
    <w:p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I. </w:t>
      </w:r>
      <w:r>
        <w:rPr>
          <w:rStyle w:val="14"/>
          <w:rFonts w:ascii="Arial" w:hAnsi="Arial" w:cs="Arial"/>
        </w:rPr>
        <w:t>O limite máximo de horas de crédito acumuladas é de 30 (trinta) horas para quem tem jornada de trabalho de 30 (trinta) horas semanais e de 40 (quarenta) horas para quem tem jornada de trabalho de 40 (quarenta) horas semanais. Não serão autorizadas e nem computadas as horas de crédito realizadas após esse limite. O responsável pelo sistema do ponto, caso o ponto não o realize automaticamente, fará o desconto das horas excedentes ao limite, sem necessidade de informar ao empregado e/ou ao superior imediato.</w:t>
      </w:r>
    </w:p>
    <w:p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II.</w:t>
      </w:r>
      <w:r>
        <w:rPr>
          <w:rStyle w:val="14"/>
          <w:rFonts w:ascii="Arial" w:hAnsi="Arial" w:cs="Arial"/>
        </w:rPr>
        <w:t xml:space="preserve"> Na hipótese de o empregado contar com débito no banco de horas no momento do fechamento da folha de pagamento, o empregado terá até o dia 20 do mês seguinte para a compensação destas horas. Quando findar esse prazo, caso o empregado não tenha compensado o saldo total do banco de horas e a quantidade de débito seja maior que 15 (quinze) minutos, o CAU/GO efetuará o desconto das horas não trabalhadas, nos termos deste Acordo de Trabalho.</w:t>
      </w:r>
    </w:p>
    <w:p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III. </w:t>
      </w:r>
      <w:r>
        <w:rPr>
          <w:rStyle w:val="14"/>
          <w:rFonts w:ascii="Arial" w:hAnsi="Arial" w:cs="Arial"/>
        </w:rPr>
        <w:t>O CAU/GO manterá o controle do banco de horas, contendo demonstrativo dos créditos e débitos mensais de cada empregado, sendo que os empregados poderão consultar o saldo existente no sistema online de ponto eletrônico.</w:t>
      </w:r>
    </w:p>
    <w:p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IV.</w:t>
      </w:r>
      <w:r>
        <w:rPr>
          <w:rStyle w:val="14"/>
          <w:rFonts w:ascii="Arial" w:hAnsi="Arial" w:cs="Arial"/>
        </w:rPr>
        <w:t xml:space="preserve"> Na ocorrência de rescisão contratual, o saldo positivo do banco de horas do empregado efetivo será pago no prazo legalmente estabelecido para quitação das verbas rescisórias. Assim como, o saldo de horas negativas do empregado efetivo será descontado dos créditos rescisórios. Os empregados de livre provimento e demissão não farão jus ao recebimento do saldo positivo e sofrerão desconto de saldo negativo, na rescisão contratual.</w:t>
      </w:r>
    </w:p>
    <w:p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>
        <w:rPr>
          <w:rFonts w:ascii="Arial" w:hAnsi="Arial" w:cs="Arial"/>
        </w:rPr>
        <w:t>O banco de horas terá duração máxima de 01 (um) ano. O saldo positivo deverá ser quitado (zerado) até 20 de fevereiro do ano corrente, mediante concessão de folgas acordadas e autorizadas entre o empregado e o superior imediato. O saldo positivo não usufruído até o dia 20 de fevereiro, salvo o disposto no inciso VI, será desconsiderado, não tendo o empregado o direito de utilização posterior. O saldo negativo seguirá as regras do inciso II.</w:t>
      </w:r>
    </w:p>
    <w:p>
      <w:pPr>
        <w:tabs>
          <w:tab w:val="left" w:pos="567"/>
          <w:tab w:val="left" w:pos="2492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VI.</w:t>
      </w:r>
      <w:r>
        <w:rPr>
          <w:rFonts w:ascii="Arial" w:hAnsi="Arial" w:cs="Arial"/>
        </w:rPr>
        <w:t xml:space="preserve"> As horas de crédito realizadas </w:t>
      </w:r>
      <w:r>
        <w:rPr>
          <w:rFonts w:ascii="Arial" w:hAnsi="Arial" w:cs="Arial"/>
          <w:b/>
          <w:bCs/>
        </w:rPr>
        <w:t>até 05 dias úteis antes do dia 20 de fevereiro</w:t>
      </w:r>
      <w:r>
        <w:rPr>
          <w:rFonts w:ascii="Arial" w:hAnsi="Arial" w:cs="Arial"/>
        </w:rPr>
        <w:t xml:space="preserve"> poderão ser incorporadas no próximo acordo coletivo, sem prejuízo dos empregados.</w:t>
      </w:r>
    </w:p>
    <w:p>
      <w:pPr>
        <w:tabs>
          <w:tab w:val="left" w:pos="567"/>
        </w:tabs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6º</w:t>
      </w:r>
      <w:r>
        <w:rPr>
          <w:rStyle w:val="14"/>
          <w:rFonts w:ascii="Arial" w:hAnsi="Arial" w:cs="Arial"/>
        </w:rPr>
        <w:t xml:space="preserve"> O gozo das horas acumuladas deverá ser solicitado com, no mínimo, 48 horas de antecedência, ao superior imediato.</w:t>
      </w:r>
    </w:p>
    <w:p>
      <w:pPr>
        <w:tabs>
          <w:tab w:val="left" w:pos="567"/>
        </w:tabs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7º</w:t>
      </w:r>
      <w:r>
        <w:rPr>
          <w:rStyle w:val="14"/>
          <w:rFonts w:ascii="Arial" w:hAnsi="Arial" w:cs="Arial"/>
        </w:rPr>
        <w:t xml:space="preserve"> O superior imediato, antes de conceder o uso do banco de horas deverá avaliar se não haverá prejuízo para o bom andamento das atividades da área de lotação antes de conceder a autorização.</w:t>
      </w:r>
    </w:p>
    <w:p>
      <w:pPr>
        <w:tabs>
          <w:tab w:val="left" w:pos="567"/>
        </w:tabs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 xml:space="preserve">§ 8º </w:t>
      </w:r>
      <w:r>
        <w:rPr>
          <w:rStyle w:val="14"/>
          <w:rFonts w:ascii="Arial" w:hAnsi="Arial" w:cs="Arial"/>
        </w:rPr>
        <w:t>A Gerencia de Administração e Recursos Humanos deverá ser e informada pelo superior de cada área sobre os empregados que estarão em gozo das horas e, portanto, não estão trabalhando em algum período ou dia.</w:t>
      </w:r>
    </w:p>
    <w:p>
      <w:pPr>
        <w:tabs>
          <w:tab w:val="left" w:pos="567"/>
        </w:tabs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§ 9º</w:t>
      </w:r>
      <w:r>
        <w:rPr>
          <w:rStyle w:val="14"/>
          <w:rFonts w:ascii="Arial" w:hAnsi="Arial" w:cs="Arial"/>
        </w:rPr>
        <w:t xml:space="preserve"> É de responsabilidade dos gerentes a organização dos horários de entrada e saída, os intervalos de almoço de suas equipes, bem como controlar o acesso e a presença dos empregados do setor sob sua responsabilidade nas dependências do CAU/GO durante a realização de horas fora do horário de expediente.</w:t>
      </w:r>
    </w:p>
    <w:p>
      <w:pPr>
        <w:tabs>
          <w:tab w:val="left" w:pos="567"/>
        </w:tabs>
        <w:spacing w:after="0" w:line="360" w:lineRule="auto"/>
        <w:ind w:left="567"/>
        <w:jc w:val="both"/>
        <w:rPr>
          <w:rStyle w:val="14"/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CLÁUSULA NOVA: ANIVERSÁRIO DO EMPREGADO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CAU/GO concederá um dia de folga ao empregado em razão da data do seu aniversário.</w:t>
      </w:r>
    </w:p>
    <w:p>
      <w:pPr>
        <w:spacing w:after="0" w:line="360" w:lineRule="auto"/>
        <w:jc w:val="both"/>
        <w:rPr>
          <w:rStyle w:val="14"/>
          <w:rFonts w:ascii="Arial" w:hAnsi="Arial" w:cs="Arial"/>
        </w:rPr>
      </w:pPr>
      <w:r>
        <w:rPr>
          <w:rStyle w:val="14"/>
          <w:rFonts w:ascii="Arial" w:hAnsi="Arial" w:cs="Arial"/>
          <w:b/>
          <w:bCs/>
        </w:rPr>
        <w:t>Parágrafo Único:</w:t>
      </w:r>
      <w:r>
        <w:rPr>
          <w:rStyle w:val="14"/>
          <w:rFonts w:ascii="Arial" w:hAnsi="Arial" w:cs="Arial"/>
        </w:rPr>
        <w:t xml:space="preserve"> O trabalhador terá flexibilidade para usufruir da folga dentro do mês do aniversário, desde que previamente acordado e agendado com seu superior.</w:t>
      </w:r>
    </w:p>
    <w:p>
      <w:pPr>
        <w:spacing w:after="0" w:line="360" w:lineRule="auto"/>
        <w:jc w:val="both"/>
        <w:rPr>
          <w:rStyle w:val="14"/>
          <w:rFonts w:ascii="Arial" w:hAnsi="Arial" w:cs="Arial"/>
        </w:rPr>
      </w:pPr>
    </w:p>
    <w:p>
      <w:pPr>
        <w:spacing w:after="0" w:line="360" w:lineRule="auto"/>
        <w:jc w:val="both"/>
        <w:rPr>
          <w:rStyle w:val="14"/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DÉCIMA: CONCESSÃO DE FALTAS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conformidade com o que postula o Art. 473 da CLT, o empregado poderá deixar de comparecer ao serviço sem prejuízo do salário ou de qualquer outro direito, respeitados os critérios mais vantajosos, ficando assim ampliados:</w:t>
      </w:r>
    </w:p>
    <w:p>
      <w:pPr>
        <w:pStyle w:val="21"/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360" w:lineRule="auto"/>
        <w:ind w:left="567"/>
        <w:jc w:val="both"/>
        <w:textAlignment w:val="baseline"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 7 (s</w:t>
      </w:r>
      <w:r>
        <w:rPr>
          <w:rFonts w:ascii="Arial" w:hAnsi="Arial" w:cs="Arial"/>
        </w:rPr>
        <w:t>ete) dias consecutivos, em caso de falecimento do cônjuge, genitores, filho (a) ou irmão (ã);</w:t>
      </w:r>
    </w:p>
    <w:p>
      <w:pPr>
        <w:widowControl w:val="0"/>
        <w:suppressAutoHyphens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</w:rPr>
        <w:t>b)</w:t>
      </w:r>
      <w:r>
        <w:rPr>
          <w:rFonts w:ascii="Arial" w:hAnsi="Arial" w:eastAsia="Arial" w:cs="Arial"/>
        </w:rPr>
        <w:t xml:space="preserve"> 5 (c</w:t>
      </w:r>
      <w:r>
        <w:rPr>
          <w:rFonts w:ascii="Arial" w:hAnsi="Arial" w:cs="Arial"/>
        </w:rPr>
        <w:t>inco) dias consecutivos em virtude de casamento;</w:t>
      </w:r>
    </w:p>
    <w:p>
      <w:pPr>
        <w:suppressAutoHyphens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5 (cinco) dias por ano, para internação hospitalar por motivo de doença em cônjuge, companheiro em união estável, genitores, filho (a) ou irmão (ã).</w:t>
      </w:r>
    </w:p>
    <w:p>
      <w:pPr>
        <w:pStyle w:val="2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6 (seis) dias por ano para acompanhamento ao médico de cônjuge, companheiro em união estável, genitores, filho (a) ou irmão (ã) mediante comprovação;</w:t>
      </w:r>
    </w:p>
    <w:p>
      <w:pPr>
        <w:pStyle w:val="2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e) </w:t>
      </w:r>
      <w:r>
        <w:rPr>
          <w:rFonts w:ascii="Arial" w:hAnsi="Arial" w:eastAsia="Arial" w:cs="Arial"/>
        </w:rPr>
        <w:t>6 (s</w:t>
      </w:r>
      <w:r>
        <w:rPr>
          <w:rFonts w:ascii="Arial" w:hAnsi="Arial" w:cs="Arial"/>
        </w:rPr>
        <w:t xml:space="preserve">eis) dias por ano </w:t>
      </w:r>
      <w:r>
        <w:rPr>
          <w:rFonts w:ascii="Arial" w:hAnsi="Arial" w:cs="Arial"/>
          <w:shd w:val="clear" w:color="auto" w:fill="FFFFFF"/>
        </w:rPr>
        <w:t>para acompanhar consultas médicas e exames complementares durante o período de gravidez de sua esposa ou companheira;</w:t>
      </w:r>
    </w:p>
    <w:p>
      <w:pPr>
        <w:pStyle w:val="21"/>
        <w:spacing w:after="0" w:line="360" w:lineRule="auto"/>
        <w:ind w:left="567"/>
        <w:jc w:val="both"/>
        <w:rPr>
          <w:rFonts w:ascii="Arial" w:hAnsi="Arial" w:cs="Arial"/>
        </w:rPr>
      </w:pPr>
      <w:bookmarkStart w:id="0" w:name="_Hlk11833598"/>
      <w:r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pelas horas efetivamente destinadas para o comparecimento em reunião escolar obrigatória, de até o limite de 03 (três) reuniões por ano, da mãe, do pai ou responsável pelo aluno, desde que coincidente com horário de trabalho e previamente avisado ao CAU/GO com antecedência de 24 (vinte e quatro) horas, devidamente comprovada;</w:t>
      </w:r>
      <w:bookmarkEnd w:id="0"/>
    </w:p>
    <w:p>
      <w:pPr>
        <w:pStyle w:val="21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g)</w:t>
      </w:r>
      <w:r>
        <w:rPr>
          <w:rFonts w:ascii="Arial" w:hAnsi="Arial" w:cs="Arial"/>
        </w:rPr>
        <w:t xml:space="preserve"> mediante comunicação prévia de 48 (quarenta e oito) horas ao CAU/GO, será abonada a falta do empregado por ocasião de apresentação de projeto final de curso superior, pós-graduação, mestrado e doutorado, devidamente comprovada;</w:t>
      </w:r>
    </w:p>
    <w:p>
      <w:pPr>
        <w:autoSpaceDE w:val="0"/>
        <w:spacing w:after="0" w:line="360" w:lineRule="auto"/>
        <w:ind w:right="561"/>
        <w:jc w:val="both"/>
        <w:rPr>
          <w:rFonts w:ascii="Arial" w:hAnsi="Arial" w:cs="Arial"/>
          <w:b/>
          <w:bCs/>
          <w:u w:val="single"/>
        </w:rPr>
      </w:pPr>
    </w:p>
    <w:p>
      <w:pPr>
        <w:autoSpaceDE w:val="0"/>
        <w:spacing w:after="0" w:line="360" w:lineRule="auto"/>
        <w:ind w:right="5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DÉCIMA</w:t>
      </w:r>
      <w:r>
        <w:rPr>
          <w:rFonts w:ascii="Arial" w:hAnsi="Arial" w:cs="Arial"/>
          <w:b/>
          <w:u w:val="single"/>
        </w:rPr>
        <w:t xml:space="preserve"> PRIMEIRA</w:t>
      </w:r>
      <w:r>
        <w:rPr>
          <w:rFonts w:ascii="Arial" w:hAnsi="Arial" w:cs="Arial"/>
          <w:b/>
          <w:bCs/>
          <w:u w:val="single"/>
        </w:rPr>
        <w:t xml:space="preserve">: LICENÇA MATERNIDADE </w:t>
      </w:r>
    </w:p>
    <w:p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CAU/GO concederá à </w:t>
      </w:r>
      <w:r>
        <w:rPr>
          <w:rFonts w:ascii="Arial" w:hAnsi="Arial" w:cs="Arial"/>
          <w:bCs/>
        </w:rPr>
        <w:t>servidora</w:t>
      </w:r>
      <w:r>
        <w:rPr>
          <w:rFonts w:ascii="Arial" w:hAnsi="Arial" w:cs="Arial"/>
        </w:rPr>
        <w:t xml:space="preserve"> gestante, licença-maternidade de 180 dias consecutivos.</w:t>
      </w:r>
    </w:p>
    <w:p>
      <w:pPr>
        <w:pStyle w:val="21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</w:p>
    <w:p>
      <w:pPr>
        <w:autoSpaceDE w:val="0"/>
        <w:spacing w:after="0" w:line="360" w:lineRule="auto"/>
        <w:ind w:right="5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DÉCIMA</w:t>
      </w:r>
      <w:r>
        <w:rPr>
          <w:rFonts w:ascii="Arial" w:hAnsi="Arial" w:cs="Arial"/>
          <w:b/>
          <w:u w:val="single"/>
        </w:rPr>
        <w:t xml:space="preserve"> SEGUNDA</w:t>
      </w:r>
      <w:r>
        <w:rPr>
          <w:rFonts w:ascii="Arial" w:hAnsi="Arial" w:cs="Arial"/>
          <w:b/>
          <w:bCs/>
          <w:u w:val="single"/>
        </w:rPr>
        <w:t>: LICENÇA PATERNIDADE</w:t>
      </w:r>
    </w:p>
    <w:p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</w:rPr>
        <w:t>O CAU/GO concederá 20 dias consecutivos de licença paternidade;</w:t>
      </w:r>
    </w:p>
    <w:p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</w:p>
    <w:p>
      <w:pPr>
        <w:autoSpaceDE w:val="0"/>
        <w:spacing w:after="0" w:line="360" w:lineRule="auto"/>
        <w:ind w:right="-3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CLÁUSULA DÉCIMA</w:t>
      </w:r>
      <w:r>
        <w:rPr>
          <w:rFonts w:ascii="Arial" w:hAnsi="Arial" w:cs="Arial"/>
          <w:b/>
          <w:bCs/>
          <w:u w:val="single"/>
        </w:rPr>
        <w:t xml:space="preserve"> TERCEIRA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bCs/>
          <w:u w:val="single"/>
        </w:rPr>
        <w:t>LICENÇA ADOÇÃO</w:t>
      </w:r>
      <w:r>
        <w:rPr>
          <w:rFonts w:ascii="Arial" w:hAnsi="Arial" w:cs="Arial"/>
          <w:bCs/>
        </w:rPr>
        <w:t xml:space="preserve"> </w:t>
      </w: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CAU/GO concederá às servidoras ou servidores adotantes a licença adoção de 180 dias consecutivos.</w:t>
      </w: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A adoção ensejará a concessão de licença a apenas um dos adotantes, conforme art. 392-A, § 5º da CLT. </w:t>
      </w:r>
    </w:p>
    <w:p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DÉCIMA</w:t>
      </w:r>
      <w:r>
        <w:rPr>
          <w:rFonts w:ascii="Arial" w:hAnsi="Arial" w:cs="Arial"/>
          <w:b/>
          <w:u w:val="single"/>
        </w:rPr>
        <w:t xml:space="preserve"> QUARTA</w:t>
      </w:r>
      <w:r>
        <w:rPr>
          <w:rFonts w:ascii="Arial" w:hAnsi="Arial" w:cs="Arial"/>
          <w:b/>
          <w:bCs/>
          <w:u w:val="single"/>
        </w:rPr>
        <w:t>: TRANSPORTE (BICICLETA)</w:t>
      </w: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servidor(es) que opte por usar bicicleta como meio de transporte para se descolar ao trabalho, num raio mínimo de 2 (dois) km do CAU-GO, terá direito a 1 (um) dia por mês para descanso, não sendo cumulativo, de acordo com portaria que regulamente a concessão.</w:t>
      </w: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CLÁUSULA DÉCIMA QUINTA: ANTECIPAÇÃO DO DÉCIMO TERCEIRO SALÁRIO</w:t>
      </w: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CAU/GO se compromete a realizar o adiantamento de 50% (cinquenta por cento) do valor do 13º salário do empregado, nas férias, desde que a solicitação seja realizada junto com o pedido de férias. </w:t>
      </w: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sz w:val="22"/>
          <w:szCs w:val="22"/>
        </w:rPr>
        <w:t xml:space="preserve"> Quando o empregado optar por receber o adiantamento parcial do 13º salário, a 2ª (segunda) parcela será paga normalmente no dia 20 de dezembro de cada exercício, conforme a Lei nº 4.749/65.</w:t>
      </w:r>
    </w:p>
    <w:p>
      <w:pPr>
        <w:pStyle w:val="17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15"/>
          <w:rFonts w:ascii="Arial" w:hAnsi="Arial" w:cs="Arial"/>
          <w:b/>
          <w:bCs/>
          <w:u w:val="single"/>
        </w:rPr>
        <w:t xml:space="preserve">CLÁUSULA DÉCIMA SEXTA: FRACIONAMENTO DE FÉRIAS 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que haja solicitação do empregado público, as férias poderão ser usufruídas em até três períodos, sendo que um deles não poderá ser inferior a quatorze dias corridos e os demais não poderão ser inferiores a cinco dias corridos, nos termos do art. 134, § 1º, da Consolidação das Leis do Trabalho - CLT.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pStyle w:val="18"/>
        <w:suppressAutoHyphens w:val="0"/>
        <w:spacing w:line="360" w:lineRule="auto"/>
        <w:rPr>
          <w:rStyle w:val="15"/>
          <w:rFonts w:ascii="Arial" w:hAnsi="Arial" w:cs="Arial"/>
          <w:kern w:val="1"/>
          <w:sz w:val="22"/>
          <w:szCs w:val="22"/>
        </w:rPr>
      </w:pPr>
      <w:r>
        <w:rPr>
          <w:rStyle w:val="14"/>
          <w:rFonts w:ascii="Arial" w:hAnsi="Arial" w:cs="Arial"/>
          <w:b/>
          <w:bCs/>
          <w:sz w:val="22"/>
          <w:szCs w:val="22"/>
        </w:rPr>
        <w:t>§ 1º</w:t>
      </w:r>
      <w:r>
        <w:rPr>
          <w:rStyle w:val="15"/>
          <w:rFonts w:ascii="Arial" w:hAnsi="Arial" w:cs="Arial"/>
          <w:b/>
          <w:bCs/>
          <w:kern w:val="1"/>
          <w:sz w:val="22"/>
          <w:szCs w:val="22"/>
        </w:rPr>
        <w:t>:</w:t>
      </w:r>
      <w:r>
        <w:rPr>
          <w:rStyle w:val="15"/>
          <w:rFonts w:ascii="Arial" w:hAnsi="Arial" w:cs="Arial"/>
          <w:kern w:val="1"/>
          <w:sz w:val="22"/>
          <w:szCs w:val="22"/>
        </w:rPr>
        <w:t xml:space="preserve"> É vedado o início das férias no período de 2 (dois) dias que antecede feriado ou dia de repouso semanal remunerado.</w:t>
      </w:r>
    </w:p>
    <w:p>
      <w:pPr>
        <w:pStyle w:val="18"/>
        <w:suppressAutoHyphens w:val="0"/>
        <w:spacing w:line="360" w:lineRule="auto"/>
        <w:jc w:val="both"/>
        <w:rPr>
          <w:rStyle w:val="15"/>
          <w:rFonts w:ascii="Arial" w:hAnsi="Arial" w:cs="Arial"/>
          <w:b/>
          <w:bCs/>
          <w:kern w:val="1"/>
          <w:sz w:val="22"/>
          <w:szCs w:val="22"/>
        </w:rPr>
      </w:pPr>
    </w:p>
    <w:p>
      <w:pPr>
        <w:pStyle w:val="18"/>
        <w:suppressAutoHyphens w:val="0"/>
        <w:spacing w:line="360" w:lineRule="auto"/>
        <w:jc w:val="both"/>
        <w:rPr>
          <w:rStyle w:val="15"/>
          <w:rFonts w:ascii="Arial" w:hAnsi="Arial" w:cs="Arial"/>
          <w:kern w:val="1"/>
          <w:sz w:val="22"/>
          <w:szCs w:val="22"/>
        </w:rPr>
      </w:pPr>
      <w:r>
        <w:rPr>
          <w:rStyle w:val="14"/>
          <w:rFonts w:ascii="Arial" w:hAnsi="Arial" w:cs="Arial"/>
          <w:b/>
          <w:bCs/>
          <w:sz w:val="22"/>
          <w:szCs w:val="22"/>
        </w:rPr>
        <w:t>§ 2º</w:t>
      </w:r>
      <w:r>
        <w:rPr>
          <w:rStyle w:val="15"/>
          <w:rFonts w:ascii="Arial" w:hAnsi="Arial" w:cs="Arial"/>
          <w:b/>
          <w:bCs/>
          <w:kern w:val="1"/>
          <w:sz w:val="22"/>
          <w:szCs w:val="22"/>
        </w:rPr>
        <w:t>:</w:t>
      </w:r>
      <w:r>
        <w:rPr>
          <w:rStyle w:val="15"/>
          <w:rFonts w:ascii="Arial" w:hAnsi="Arial" w:cs="Arial"/>
          <w:kern w:val="1"/>
          <w:sz w:val="22"/>
          <w:szCs w:val="22"/>
        </w:rPr>
        <w:t xml:space="preserve"> O bônus de um terço de férias será pago automaticamente aos empregados e proporcionalmente em cada bloco de férias durante o seu respectivo ano concessivo.</w:t>
      </w:r>
    </w:p>
    <w:p>
      <w:pPr>
        <w:pStyle w:val="18"/>
        <w:suppressAutoHyphens w:val="0"/>
        <w:spacing w:line="360" w:lineRule="auto"/>
        <w:jc w:val="both"/>
        <w:rPr>
          <w:rStyle w:val="15"/>
          <w:rFonts w:ascii="Arial" w:hAnsi="Arial" w:cs="Arial"/>
          <w:kern w:val="1"/>
          <w:sz w:val="22"/>
          <w:szCs w:val="22"/>
        </w:rPr>
      </w:pPr>
    </w:p>
    <w:p>
      <w:pPr>
        <w:pStyle w:val="18"/>
        <w:suppressAutoHyphens w:val="0"/>
        <w:spacing w:line="360" w:lineRule="auto"/>
        <w:jc w:val="both"/>
        <w:rPr>
          <w:rStyle w:val="15"/>
          <w:rFonts w:ascii="Arial" w:hAnsi="Arial" w:cs="Arial"/>
          <w:bCs/>
          <w:kern w:val="1"/>
          <w:sz w:val="22"/>
          <w:szCs w:val="22"/>
        </w:rPr>
      </w:pPr>
      <w:r>
        <w:rPr>
          <w:rStyle w:val="15"/>
          <w:rFonts w:ascii="Arial" w:hAnsi="Arial" w:cs="Arial"/>
          <w:b/>
          <w:kern w:val="1"/>
          <w:sz w:val="22"/>
          <w:szCs w:val="22"/>
          <w:u w:val="single"/>
        </w:rPr>
        <w:t>CLÁUSULA DÉCIMA SÉTIMA: REGIME DE TELETRABALHO</w:t>
      </w:r>
    </w:p>
    <w:p>
      <w:pPr>
        <w:pStyle w:val="18"/>
        <w:suppressAutoHyphens w:val="0"/>
        <w:spacing w:line="360" w:lineRule="auto"/>
        <w:jc w:val="both"/>
        <w:rPr>
          <w:rStyle w:val="15"/>
          <w:rFonts w:ascii="Arial" w:hAnsi="Arial" w:cs="Arial"/>
          <w:bCs/>
          <w:kern w:val="1"/>
          <w:sz w:val="22"/>
          <w:szCs w:val="22"/>
        </w:rPr>
      </w:pPr>
      <w:r>
        <w:rPr>
          <w:rStyle w:val="15"/>
          <w:rFonts w:ascii="Arial" w:hAnsi="Arial" w:cs="Arial"/>
          <w:bCs/>
          <w:kern w:val="1"/>
          <w:sz w:val="22"/>
          <w:szCs w:val="22"/>
        </w:rPr>
        <w:t>O Conselho de Arquitetura e Urbanismo poderá adotar o regime de trabalho remoto ou trabalho híbrido, caso seja de interesse da gestão. O regime de trabalho será regulamentado por portaria própria emitida pelo CAU/GO.</w:t>
      </w:r>
    </w:p>
    <w:p>
      <w:pPr>
        <w:pStyle w:val="18"/>
        <w:suppressAutoHyphens w:val="0"/>
        <w:spacing w:line="360" w:lineRule="auto"/>
        <w:jc w:val="both"/>
        <w:rPr>
          <w:rStyle w:val="15"/>
          <w:rFonts w:ascii="Arial" w:hAnsi="Arial" w:cs="Arial"/>
          <w:bCs/>
          <w:kern w:val="1"/>
          <w:sz w:val="22"/>
          <w:szCs w:val="22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CLÁUSULA DÉCIMA OITAVA</w:t>
      </w:r>
      <w:r>
        <w:rPr>
          <w:rFonts w:ascii="Arial" w:hAnsi="Arial" w:cs="Arial"/>
          <w:b/>
          <w:bCs/>
          <w:u w:val="single"/>
        </w:rPr>
        <w:t>: PENALIDADES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Fica estabelecida multa equivalente a 50% (cinquenta por cento) do salário mínimo vigente no país por empregado, por descumprimento de qualquer cláusula deste Acordo, de forma cumulativa revertida à parte prejudicada.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CLÁUSULA DÉCIMA NONA: </w:t>
      </w:r>
    </w:p>
    <w:p>
      <w:pPr>
        <w:spacing w:after="0" w:line="360" w:lineRule="auto"/>
        <w:jc w:val="both"/>
        <w:rPr>
          <w:rStyle w:val="15"/>
          <w:rFonts w:ascii="Arial" w:hAnsi="Arial" w:eastAsia="SimSun" w:cs="Arial"/>
          <w:bCs/>
          <w:kern w:val="1"/>
          <w:lang w:eastAsia="zh-CN" w:bidi="hi-IN"/>
        </w:rPr>
      </w:pPr>
      <w:r>
        <w:rPr>
          <w:rStyle w:val="15"/>
          <w:rFonts w:ascii="Arial" w:hAnsi="Arial" w:eastAsia="SimSun" w:cs="Arial"/>
          <w:bCs/>
          <w:kern w:val="1"/>
          <w:lang w:eastAsia="zh-CN" w:bidi="hi-IN"/>
        </w:rPr>
        <w:t xml:space="preserve">O CAU/GO mediante autorização expressa de cada colaborador praticará desconto negocial em favor do SINDECOF-GO quando do primeiro pagamento dos salários após a assinatura do ACT; </w:t>
      </w:r>
    </w:p>
    <w:p>
      <w:pPr>
        <w:spacing w:after="0" w:line="360" w:lineRule="auto"/>
        <w:jc w:val="both"/>
        <w:rPr>
          <w:rStyle w:val="15"/>
          <w:rFonts w:ascii="Arial" w:hAnsi="Arial" w:eastAsia="SimSun" w:cs="Arial"/>
          <w:bCs/>
          <w:kern w:val="1"/>
          <w:lang w:eastAsia="zh-CN" w:bidi="hi-IN"/>
        </w:rPr>
      </w:pPr>
      <w:r>
        <w:rPr>
          <w:rStyle w:val="15"/>
          <w:rFonts w:ascii="Arial" w:hAnsi="Arial" w:eastAsia="SimSun" w:cs="Arial"/>
          <w:b/>
          <w:bCs/>
          <w:kern w:val="1"/>
          <w:lang w:eastAsia="zh-CN" w:bidi="hi-IN"/>
        </w:rPr>
        <w:t xml:space="preserve">Parágrafo primeiro: </w:t>
      </w:r>
      <w:r>
        <w:rPr>
          <w:rStyle w:val="15"/>
          <w:rFonts w:ascii="Arial" w:hAnsi="Arial" w:eastAsia="SimSun" w:cs="Arial"/>
          <w:bCs/>
          <w:kern w:val="1"/>
          <w:lang w:eastAsia="zh-CN" w:bidi="hi-IN"/>
        </w:rPr>
        <w:t>O desconto compreenderá o valor de R$ 10,00.</w:t>
      </w:r>
    </w:p>
    <w:p>
      <w:pPr>
        <w:spacing w:after="0" w:line="360" w:lineRule="auto"/>
        <w:jc w:val="both"/>
        <w:rPr>
          <w:rStyle w:val="15"/>
          <w:rFonts w:ascii="Arial" w:hAnsi="Arial" w:eastAsia="SimSun" w:cs="Arial"/>
          <w:bCs/>
          <w:kern w:val="1"/>
          <w:lang w:eastAsia="zh-CN" w:bidi="hi-IN"/>
        </w:rPr>
      </w:pPr>
      <w:r>
        <w:rPr>
          <w:rStyle w:val="15"/>
          <w:rFonts w:ascii="Arial" w:hAnsi="Arial" w:eastAsia="SimSun" w:cs="Arial"/>
          <w:b/>
          <w:bCs/>
          <w:kern w:val="1"/>
          <w:lang w:eastAsia="zh-CN" w:bidi="hi-IN"/>
        </w:rPr>
        <w:t xml:space="preserve">Parágrafo segundo: </w:t>
      </w:r>
      <w:r>
        <w:rPr>
          <w:rStyle w:val="15"/>
          <w:rFonts w:ascii="Arial" w:hAnsi="Arial" w:eastAsia="SimSun" w:cs="Arial"/>
          <w:bCs/>
          <w:kern w:val="1"/>
          <w:lang w:eastAsia="zh-CN" w:bidi="hi-IN"/>
        </w:rPr>
        <w:t>O servidor terá 10 dias consecutivos após o comunicado oficial do SINDECOF-GO ao Conselho para manifestar eventual oposição ao desconto preenchendo formulário de oposição e enviando através do e-mail: </w:t>
      </w:r>
      <w:r>
        <w:fldChar w:fldCharType="begin"/>
      </w:r>
      <w:r>
        <w:instrText xml:space="preserve"> HYPERLINK "mailto:sindecofgo@hotmail.com" \t "_blank" </w:instrText>
      </w:r>
      <w:r>
        <w:fldChar w:fldCharType="separate"/>
      </w:r>
      <w:r>
        <w:rPr>
          <w:rStyle w:val="15"/>
          <w:rFonts w:ascii="Arial" w:hAnsi="Arial" w:eastAsia="SimSun" w:cs="Arial"/>
          <w:bCs/>
          <w:kern w:val="1"/>
          <w:lang w:eastAsia="zh-CN" w:bidi="hi-IN"/>
        </w:rPr>
        <w:t>sindecofgo@hotmail.com</w:t>
      </w:r>
      <w:r>
        <w:rPr>
          <w:rStyle w:val="15"/>
          <w:rFonts w:ascii="Arial" w:hAnsi="Arial" w:eastAsia="SimSun" w:cs="Arial"/>
          <w:bCs/>
          <w:kern w:val="1"/>
          <w:lang w:eastAsia="zh-CN" w:bidi="hi-IN"/>
        </w:rPr>
        <w:fldChar w:fldCharType="end"/>
      </w:r>
    </w:p>
    <w:p>
      <w:pPr>
        <w:spacing w:after="0" w:line="360" w:lineRule="auto"/>
        <w:jc w:val="both"/>
        <w:rPr>
          <w:rStyle w:val="15"/>
          <w:rFonts w:ascii="Arial" w:hAnsi="Arial" w:eastAsia="SimSun" w:cs="Arial"/>
          <w:bCs/>
          <w:kern w:val="1"/>
          <w:lang w:eastAsia="zh-CN" w:bidi="hi-IN"/>
        </w:rPr>
      </w:pPr>
      <w:r>
        <w:rPr>
          <w:rStyle w:val="15"/>
          <w:rFonts w:ascii="Arial" w:hAnsi="Arial" w:eastAsia="SimSun" w:cs="Arial"/>
          <w:b/>
          <w:bCs/>
          <w:kern w:val="1"/>
          <w:lang w:eastAsia="zh-CN" w:bidi="hi-IN"/>
        </w:rPr>
        <w:t>Parágrafo quarto:</w:t>
      </w:r>
      <w:r>
        <w:rPr>
          <w:rStyle w:val="15"/>
          <w:rFonts w:ascii="Arial" w:hAnsi="Arial" w:eastAsia="SimSun" w:cs="Arial"/>
          <w:bCs/>
          <w:kern w:val="1"/>
          <w:lang w:eastAsia="zh-CN" w:bidi="hi-IN"/>
        </w:rPr>
        <w:t xml:space="preserve"> O CAU/GO e o SINDECOF-GO comunicarão em conjunto aos servidores a data de protocolo do Acordo Coletivo de Trabalho.</w:t>
      </w:r>
    </w:p>
    <w:p>
      <w:pPr>
        <w:spacing w:after="0" w:line="360" w:lineRule="auto"/>
        <w:jc w:val="both"/>
        <w:rPr>
          <w:rStyle w:val="15"/>
          <w:rFonts w:ascii="Arial" w:hAnsi="Arial" w:eastAsia="SimSun" w:cs="Arial"/>
          <w:bCs/>
          <w:kern w:val="1"/>
          <w:lang w:eastAsia="zh-CN" w:bidi="hi-IN"/>
        </w:rPr>
      </w:pPr>
      <w:r>
        <w:rPr>
          <w:rStyle w:val="15"/>
          <w:rFonts w:ascii="Arial" w:hAnsi="Arial" w:eastAsia="SimSun" w:cs="Arial"/>
          <w:b/>
          <w:bCs/>
          <w:kern w:val="1"/>
          <w:lang w:eastAsia="zh-CN" w:bidi="hi-IN"/>
        </w:rPr>
        <w:t>Parágrafo quinto</w:t>
      </w:r>
      <w:r>
        <w:rPr>
          <w:rStyle w:val="15"/>
          <w:rFonts w:ascii="Arial" w:hAnsi="Arial" w:eastAsia="SimSun" w:cs="Arial"/>
          <w:bCs/>
          <w:kern w:val="1"/>
          <w:lang w:eastAsia="zh-CN" w:bidi="hi-IN"/>
        </w:rPr>
        <w:t>: O SINDECOF-GO se compromete a enviar para o Conselho a relação dos servidores que manifestaram regularmente a oposição ao desconto da contribuição negocial.</w:t>
      </w:r>
    </w:p>
    <w:p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CLÁUSULA VIGÉSIMA: DECLARAÇÃO FORMAL DO ACORDO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justos e acordados, assinam o presente Acordo de Condições Salariais e de Trabalho que ficará disponibilizado no Portal da Transparência do CAU/GO, para que surtam os efeitos de lei.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right"/>
        <w:rPr>
          <w:rFonts w:ascii="Arial" w:hAnsi="Arial" w:cs="Arial"/>
          <w:highlight w:val="none"/>
        </w:rPr>
      </w:pPr>
      <w:r>
        <w:rPr>
          <w:rFonts w:ascii="Arial" w:hAnsi="Arial" w:cs="Arial"/>
          <w:highlight w:val="none"/>
        </w:rPr>
        <w:t xml:space="preserve">Goiânia, </w:t>
      </w:r>
      <w:r>
        <w:rPr>
          <w:rFonts w:hint="default" w:ascii="Arial" w:hAnsi="Arial" w:cs="Arial"/>
          <w:highlight w:val="none"/>
          <w:lang w:val="pt-BR"/>
        </w:rPr>
        <w:t xml:space="preserve">02 </w:t>
      </w:r>
      <w:r>
        <w:rPr>
          <w:rFonts w:ascii="Arial" w:hAnsi="Arial" w:cs="Arial"/>
          <w:highlight w:val="none"/>
        </w:rPr>
        <w:t>de maio de 2024.</w:t>
      </w:r>
    </w:p>
    <w:tbl>
      <w:tblPr>
        <w:tblStyle w:val="25"/>
        <w:tblpPr w:leftFromText="180" w:rightFromText="180" w:vertAnchor="text" w:horzAnchor="page" w:tblpX="4219" w:tblpY="386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36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bookmarkStart w:id="1" w:name="_GoBack"/>
            <w:bookmarkEnd w:id="1"/>
            <w:r>
              <w:rPr>
                <w:rFonts w:ascii="Arial" w:hAnsi="Arial" w:eastAsia="Arial" w:cs="Arial"/>
                <w:b/>
                <w:bCs/>
              </w:rPr>
              <w:t xml:space="preserve">Simone Buiate Brandão </w:t>
            </w: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Presidente do CAU/GO    </w:t>
            </w: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Sandro da Silva Marques</w:t>
            </w: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Presidente do SINDECOF/GO</w:t>
            </w: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spacing w:after="0" w:line="360" w:lineRule="auto"/>
              <w:jc w:val="center"/>
              <w:rPr>
                <w:rFonts w:hint="default" w:ascii="Arial" w:hAnsi="Arial" w:cs="Arial"/>
                <w:b/>
                <w:bCs/>
              </w:rPr>
            </w:pPr>
            <w:r>
              <w:rPr>
                <w:rFonts w:hint="default" w:ascii="Arial" w:hAnsi="Arial" w:cs="Arial"/>
                <w:b/>
                <w:bCs/>
              </w:rPr>
              <w:t>Alexandre Feitosa Meireles</w:t>
            </w:r>
          </w:p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default" w:ascii="Arial" w:hAnsi="Arial" w:cs="Arial"/>
                <w:b/>
                <w:bCs/>
              </w:rPr>
              <w:t>Diretor de Relações Institucionais</w:t>
            </w:r>
          </w:p>
        </w:tc>
      </w:tr>
    </w:tbl>
    <w:p>
      <w:pPr>
        <w:spacing w:after="0" w:line="360" w:lineRule="auto"/>
        <w:jc w:val="both"/>
        <w:rPr>
          <w:rFonts w:ascii="Arial" w:hAnsi="Arial" w:cs="Arial"/>
        </w:rPr>
      </w:pPr>
    </w:p>
    <w:sectPr>
      <w:headerReference r:id="rId5" w:type="default"/>
      <w:footerReference r:id="rId6" w:type="default"/>
      <w:footnotePr>
        <w:pos w:val="beneathText"/>
      </w:footnotePr>
      <w:pgSz w:w="11906" w:h="16838"/>
      <w:pgMar w:top="1701" w:right="1134" w:bottom="1134" w:left="1701" w:header="720" w:footer="68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OpenSymbol">
    <w:panose1 w:val="05010000000000000000"/>
    <w:charset w:val="00"/>
    <w:family w:val="auto"/>
    <w:pitch w:val="default"/>
    <w:sig w:usb0="800000AF" w:usb1="1001ECEA" w:usb2="00000000" w:usb3="00000000" w:csb0="80000001" w:csb1="00000000"/>
  </w:font>
  <w:font w:name="CIDFont+F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Theme="minorHAnsi" w:hAnsiTheme="minorHAnsi" w:eastAsiaTheme="minorEastAsia" w:cstheme="minorBidi"/>
        <w:color w:val="376092" w:themeColor="accent1" w:themeShade="BF"/>
        <w:kern w:val="0"/>
        <w:lang w:eastAsia="pt-BR" w:bidi="ar-SA"/>
      </w:rPr>
    </w:pPr>
    <w:r>
      <w:rPr>
        <w:rFonts w:asciiTheme="minorHAnsi" w:hAnsiTheme="minorHAnsi" w:eastAsiaTheme="minorEastAsia" w:cstheme="minorBidi"/>
        <w:color w:val="376092" w:themeColor="accent1" w:themeShade="BF"/>
        <w:kern w:val="0"/>
        <w:lang w:eastAsia="pt-BR" w:bidi="ar-SA"/>
      </w:rPr>
      <w:t xml:space="preserve">Av. ANHANGUERA Nº 5389 SL 1702 CENTRO- GOIÂNIA-GO – CEP. 74.043-012 (62) 3092-7151 </w:t>
    </w:r>
    <w:r>
      <w:fldChar w:fldCharType="begin"/>
    </w:r>
    <w:r>
      <w:instrText xml:space="preserve"> HYPERLINK "http://www.sindecofgo.org.br-" </w:instrText>
    </w:r>
    <w:r>
      <w:fldChar w:fldCharType="separate"/>
    </w:r>
    <w:r>
      <w:rPr>
        <w:rFonts w:asciiTheme="minorHAnsi" w:hAnsiTheme="minorHAnsi" w:eastAsiaTheme="minorEastAsia" w:cstheme="minorBidi"/>
        <w:color w:val="376092" w:themeColor="accent1" w:themeShade="BF"/>
        <w:kern w:val="0"/>
        <w:lang w:eastAsia="pt-BR" w:bidi="ar-SA"/>
      </w:rPr>
      <w:t>www.sindecofgo.org.br-</w:t>
    </w:r>
    <w:r>
      <w:rPr>
        <w:rFonts w:asciiTheme="minorHAnsi" w:hAnsiTheme="minorHAnsi" w:eastAsiaTheme="minorEastAsia" w:cstheme="minorBidi"/>
        <w:color w:val="376092" w:themeColor="accent1" w:themeShade="BF"/>
        <w:kern w:val="0"/>
        <w:lang w:eastAsia="pt-BR" w:bidi="ar-SA"/>
      </w:rPr>
      <w:fldChar w:fldCharType="end"/>
    </w:r>
    <w:r>
      <w:rPr>
        <w:rFonts w:asciiTheme="minorHAnsi" w:hAnsiTheme="minorHAnsi" w:eastAsiaTheme="minorEastAsia" w:cstheme="minorBidi"/>
        <w:color w:val="376092" w:themeColor="accent1" w:themeShade="BF"/>
        <w:kern w:val="0"/>
        <w:lang w:eastAsia="pt-BR" w:bidi="ar-SA"/>
      </w:rPr>
      <w:t xml:space="preserve"> e-mail- sindecofgo@hotmail.com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color w:val="376092" w:themeColor="accent1" w:themeShade="BF"/>
        <w:sz w:val="24"/>
        <w:szCs w:val="24"/>
      </w:rPr>
    </w:pPr>
    <w:r>
      <w:rPr>
        <w:color w:val="376092" w:themeColor="accent1" w:themeShade="BF"/>
        <w:sz w:val="24"/>
        <w:szCs w:val="24"/>
      </w:rPr>
      <w:t>SINDICATO DOS SERVIDRES EM CONSELHOS EM ORDENS DE FISCALIZAÇÃO PROFISSIONAL E ENTIDADES COLIGADAS E AFINS DO ESTADO DE GOIÁS</w:t>
    </w:r>
  </w:p>
  <w:p>
    <w:pPr>
      <w:pStyle w:val="9"/>
      <w:jc w:val="center"/>
      <w:rPr>
        <w:color w:val="376092" w:themeColor="accent1" w:themeShade="BF"/>
        <w:sz w:val="24"/>
        <w:szCs w:val="24"/>
      </w:rPr>
    </w:pPr>
    <w:r>
      <w:rPr>
        <w:color w:val="376092" w:themeColor="accent1" w:themeShade="BF"/>
        <w:sz w:val="24"/>
        <w:szCs w:val="24"/>
      </w:rPr>
      <w:t>Fundado em 19/07/1995 Reg. MTB Nº 46000.000970/95 – CNPJ 00.709.746/0001-79</w:t>
    </w:r>
  </w:p>
  <w:p>
    <w:pPr>
      <w:pStyle w:val="9"/>
      <w:jc w:val="center"/>
      <w:rPr>
        <w:color w:val="376092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lowerLetter"/>
      <w:suff w:val="nothing"/>
      <w:lvlText w:val="%1)"/>
      <w:lvlJc w:val="left"/>
      <w:pPr>
        <w:tabs>
          <w:tab w:val="left" w:pos="0"/>
        </w:tabs>
        <w:ind w:left="0" w:firstLine="0"/>
      </w:pPr>
      <w:rPr>
        <w:rFonts w:ascii="Arial" w:hAnsi="Arial" w:eastAsia="Arial" w:cs="Arial"/>
        <w:b/>
      </w:rPr>
    </w:lvl>
    <w:lvl w:ilvl="1" w:tentative="0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2" w:tentative="0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3" w:tentative="0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4" w:tentative="0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5" w:tentative="0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6" w:tentative="0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7" w:tentative="0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8" w:tentative="0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E65"/>
    <w:rsid w:val="00026C5E"/>
    <w:rsid w:val="0003525B"/>
    <w:rsid w:val="00063A54"/>
    <w:rsid w:val="000705AB"/>
    <w:rsid w:val="000B152D"/>
    <w:rsid w:val="000B2D7F"/>
    <w:rsid w:val="000B4D26"/>
    <w:rsid w:val="000C40B3"/>
    <w:rsid w:val="000C41B5"/>
    <w:rsid w:val="000D5363"/>
    <w:rsid w:val="000E35FA"/>
    <w:rsid w:val="000E4EB6"/>
    <w:rsid w:val="000F69A8"/>
    <w:rsid w:val="00111ECD"/>
    <w:rsid w:val="00111F7E"/>
    <w:rsid w:val="00127509"/>
    <w:rsid w:val="0013666E"/>
    <w:rsid w:val="00153020"/>
    <w:rsid w:val="0015649D"/>
    <w:rsid w:val="001567AA"/>
    <w:rsid w:val="0016626F"/>
    <w:rsid w:val="00182143"/>
    <w:rsid w:val="001877D9"/>
    <w:rsid w:val="001906A0"/>
    <w:rsid w:val="00191AA0"/>
    <w:rsid w:val="001C55D3"/>
    <w:rsid w:val="001D13F3"/>
    <w:rsid w:val="001D1D08"/>
    <w:rsid w:val="001E653C"/>
    <w:rsid w:val="001F0733"/>
    <w:rsid w:val="002033AF"/>
    <w:rsid w:val="00214AAD"/>
    <w:rsid w:val="002200AA"/>
    <w:rsid w:val="00223902"/>
    <w:rsid w:val="002625CE"/>
    <w:rsid w:val="00270642"/>
    <w:rsid w:val="00273DDC"/>
    <w:rsid w:val="00274A55"/>
    <w:rsid w:val="00284042"/>
    <w:rsid w:val="002C3FDF"/>
    <w:rsid w:val="002C49C0"/>
    <w:rsid w:val="002D0DFD"/>
    <w:rsid w:val="00303065"/>
    <w:rsid w:val="0031581C"/>
    <w:rsid w:val="00315BC3"/>
    <w:rsid w:val="00321752"/>
    <w:rsid w:val="00347C78"/>
    <w:rsid w:val="00354F62"/>
    <w:rsid w:val="00357567"/>
    <w:rsid w:val="0036120D"/>
    <w:rsid w:val="00363311"/>
    <w:rsid w:val="003869B8"/>
    <w:rsid w:val="00387F33"/>
    <w:rsid w:val="00396304"/>
    <w:rsid w:val="003A1CC3"/>
    <w:rsid w:val="003A3738"/>
    <w:rsid w:val="003B4BD7"/>
    <w:rsid w:val="003C208F"/>
    <w:rsid w:val="003E179B"/>
    <w:rsid w:val="003F1E8E"/>
    <w:rsid w:val="003F2456"/>
    <w:rsid w:val="003F7F97"/>
    <w:rsid w:val="00404090"/>
    <w:rsid w:val="00404E42"/>
    <w:rsid w:val="00423F51"/>
    <w:rsid w:val="0044040F"/>
    <w:rsid w:val="00445A44"/>
    <w:rsid w:val="00462506"/>
    <w:rsid w:val="00473AF3"/>
    <w:rsid w:val="00490F8D"/>
    <w:rsid w:val="004A03C1"/>
    <w:rsid w:val="004B22B0"/>
    <w:rsid w:val="004C51F4"/>
    <w:rsid w:val="004D4295"/>
    <w:rsid w:val="004E0150"/>
    <w:rsid w:val="004E6838"/>
    <w:rsid w:val="004F5898"/>
    <w:rsid w:val="004F68ED"/>
    <w:rsid w:val="00513F99"/>
    <w:rsid w:val="00532F00"/>
    <w:rsid w:val="00537535"/>
    <w:rsid w:val="005445D2"/>
    <w:rsid w:val="005449EC"/>
    <w:rsid w:val="00552EB3"/>
    <w:rsid w:val="00553F88"/>
    <w:rsid w:val="00556C07"/>
    <w:rsid w:val="00576242"/>
    <w:rsid w:val="00577AD7"/>
    <w:rsid w:val="005843EA"/>
    <w:rsid w:val="00585138"/>
    <w:rsid w:val="00596FD3"/>
    <w:rsid w:val="005A19D9"/>
    <w:rsid w:val="005B114D"/>
    <w:rsid w:val="005C5E00"/>
    <w:rsid w:val="005C637D"/>
    <w:rsid w:val="005D7F4D"/>
    <w:rsid w:val="005F0695"/>
    <w:rsid w:val="00604A12"/>
    <w:rsid w:val="00607489"/>
    <w:rsid w:val="00614644"/>
    <w:rsid w:val="00630D40"/>
    <w:rsid w:val="006373D5"/>
    <w:rsid w:val="00647353"/>
    <w:rsid w:val="0066275D"/>
    <w:rsid w:val="006629CF"/>
    <w:rsid w:val="00664A9B"/>
    <w:rsid w:val="00667E4A"/>
    <w:rsid w:val="006733FF"/>
    <w:rsid w:val="0068693E"/>
    <w:rsid w:val="00694FEA"/>
    <w:rsid w:val="00695884"/>
    <w:rsid w:val="006C5E29"/>
    <w:rsid w:val="006D45DE"/>
    <w:rsid w:val="006D58C7"/>
    <w:rsid w:val="006F094C"/>
    <w:rsid w:val="0070651F"/>
    <w:rsid w:val="0074739F"/>
    <w:rsid w:val="00761177"/>
    <w:rsid w:val="007627FF"/>
    <w:rsid w:val="007635B6"/>
    <w:rsid w:val="00781A3F"/>
    <w:rsid w:val="007822D5"/>
    <w:rsid w:val="00787460"/>
    <w:rsid w:val="00791D9E"/>
    <w:rsid w:val="007925F1"/>
    <w:rsid w:val="00797FA2"/>
    <w:rsid w:val="007A58D6"/>
    <w:rsid w:val="007B67FF"/>
    <w:rsid w:val="007C5731"/>
    <w:rsid w:val="007C5CBC"/>
    <w:rsid w:val="007D2A9E"/>
    <w:rsid w:val="007D2C2E"/>
    <w:rsid w:val="007D5006"/>
    <w:rsid w:val="008027FF"/>
    <w:rsid w:val="00803153"/>
    <w:rsid w:val="00804ACD"/>
    <w:rsid w:val="00816A70"/>
    <w:rsid w:val="008258D3"/>
    <w:rsid w:val="00825E3A"/>
    <w:rsid w:val="0082648D"/>
    <w:rsid w:val="0083446C"/>
    <w:rsid w:val="008410E1"/>
    <w:rsid w:val="00866C29"/>
    <w:rsid w:val="00871FB4"/>
    <w:rsid w:val="0087400C"/>
    <w:rsid w:val="00883263"/>
    <w:rsid w:val="00884B77"/>
    <w:rsid w:val="00885E50"/>
    <w:rsid w:val="008949CE"/>
    <w:rsid w:val="008D24B6"/>
    <w:rsid w:val="008D3F55"/>
    <w:rsid w:val="008D67B7"/>
    <w:rsid w:val="00902D6D"/>
    <w:rsid w:val="00910693"/>
    <w:rsid w:val="0091206B"/>
    <w:rsid w:val="00935749"/>
    <w:rsid w:val="00945F46"/>
    <w:rsid w:val="00947535"/>
    <w:rsid w:val="0095559F"/>
    <w:rsid w:val="00961B2C"/>
    <w:rsid w:val="00962215"/>
    <w:rsid w:val="00966702"/>
    <w:rsid w:val="00967709"/>
    <w:rsid w:val="009D3550"/>
    <w:rsid w:val="009D4AB1"/>
    <w:rsid w:val="009D76E3"/>
    <w:rsid w:val="009F0692"/>
    <w:rsid w:val="009F6E9D"/>
    <w:rsid w:val="00A10467"/>
    <w:rsid w:val="00A26BC0"/>
    <w:rsid w:val="00A40975"/>
    <w:rsid w:val="00A40EFB"/>
    <w:rsid w:val="00A44E41"/>
    <w:rsid w:val="00A8603F"/>
    <w:rsid w:val="00AA0A3C"/>
    <w:rsid w:val="00AB1CD8"/>
    <w:rsid w:val="00AB418E"/>
    <w:rsid w:val="00AB61B0"/>
    <w:rsid w:val="00AD41EC"/>
    <w:rsid w:val="00AD5A5C"/>
    <w:rsid w:val="00AF43BC"/>
    <w:rsid w:val="00B0791E"/>
    <w:rsid w:val="00B1683B"/>
    <w:rsid w:val="00B41BB0"/>
    <w:rsid w:val="00B56AFF"/>
    <w:rsid w:val="00B570A2"/>
    <w:rsid w:val="00B65E4F"/>
    <w:rsid w:val="00B734BE"/>
    <w:rsid w:val="00B86CEF"/>
    <w:rsid w:val="00BA176A"/>
    <w:rsid w:val="00BA6517"/>
    <w:rsid w:val="00BB09B6"/>
    <w:rsid w:val="00BB1C42"/>
    <w:rsid w:val="00BB5BAF"/>
    <w:rsid w:val="00BD5F5E"/>
    <w:rsid w:val="00BD72DB"/>
    <w:rsid w:val="00BE0957"/>
    <w:rsid w:val="00BE29D4"/>
    <w:rsid w:val="00C025A1"/>
    <w:rsid w:val="00C21284"/>
    <w:rsid w:val="00C26D05"/>
    <w:rsid w:val="00C275DE"/>
    <w:rsid w:val="00C32214"/>
    <w:rsid w:val="00C37EC4"/>
    <w:rsid w:val="00C615B7"/>
    <w:rsid w:val="00C828E7"/>
    <w:rsid w:val="00CA30BA"/>
    <w:rsid w:val="00CB2813"/>
    <w:rsid w:val="00CB2DE8"/>
    <w:rsid w:val="00CE0B0A"/>
    <w:rsid w:val="00D24589"/>
    <w:rsid w:val="00D41AA9"/>
    <w:rsid w:val="00D44ED2"/>
    <w:rsid w:val="00D81427"/>
    <w:rsid w:val="00D9009D"/>
    <w:rsid w:val="00DA27DB"/>
    <w:rsid w:val="00DB23AF"/>
    <w:rsid w:val="00DB6880"/>
    <w:rsid w:val="00DC1094"/>
    <w:rsid w:val="00DD1046"/>
    <w:rsid w:val="00DD2F53"/>
    <w:rsid w:val="00DE27DA"/>
    <w:rsid w:val="00DF2191"/>
    <w:rsid w:val="00E32BCD"/>
    <w:rsid w:val="00E50609"/>
    <w:rsid w:val="00E6188D"/>
    <w:rsid w:val="00E63625"/>
    <w:rsid w:val="00E75E34"/>
    <w:rsid w:val="00E770EB"/>
    <w:rsid w:val="00E81223"/>
    <w:rsid w:val="00EA1066"/>
    <w:rsid w:val="00EB06D1"/>
    <w:rsid w:val="00EC5B07"/>
    <w:rsid w:val="00ED561E"/>
    <w:rsid w:val="00EF308D"/>
    <w:rsid w:val="00EF6E33"/>
    <w:rsid w:val="00F23AFD"/>
    <w:rsid w:val="00F33758"/>
    <w:rsid w:val="00F34875"/>
    <w:rsid w:val="00F658D5"/>
    <w:rsid w:val="00F8249E"/>
    <w:rsid w:val="00F90153"/>
    <w:rsid w:val="00FD0BD3"/>
    <w:rsid w:val="00FD2BDF"/>
    <w:rsid w:val="00FD779A"/>
    <w:rsid w:val="00FE1F74"/>
    <w:rsid w:val="00FE3D32"/>
    <w:rsid w:val="00FE6D86"/>
    <w:rsid w:val="02956A0E"/>
    <w:rsid w:val="0ABC495E"/>
    <w:rsid w:val="0D2A71E1"/>
    <w:rsid w:val="20E04BCA"/>
    <w:rsid w:val="405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spacing w:after="0" w:line="360" w:lineRule="auto"/>
      <w:outlineLvl w:val="0"/>
    </w:pPr>
    <w:rPr>
      <w:rFonts w:ascii="Arial" w:hAnsi="Arial" w:cs="Arial"/>
      <w:b/>
      <w:bCs/>
      <w:u w:val="single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annotation subject"/>
    <w:basedOn w:val="8"/>
    <w:next w:val="8"/>
    <w:link w:val="23"/>
    <w:autoRedefine/>
    <w:semiHidden/>
    <w:unhideWhenUsed/>
    <w:qFormat/>
    <w:uiPriority w:val="99"/>
    <w:rPr>
      <w:b/>
      <w:bCs/>
    </w:rPr>
  </w:style>
  <w:style w:type="paragraph" w:styleId="11">
    <w:name w:val="footer"/>
    <w:basedOn w:val="1"/>
    <w:link w:val="16"/>
    <w:qFormat/>
    <w:uiPriority w:val="99"/>
    <w:pPr>
      <w:widowControl w:val="0"/>
      <w:suppressLineNumbers/>
      <w:tabs>
        <w:tab w:val="center" w:pos="4819"/>
        <w:tab w:val="right" w:pos="9639"/>
      </w:tabs>
      <w:suppressAutoHyphens/>
      <w:spacing w:after="0" w:line="100" w:lineRule="atLeast"/>
      <w:textAlignment w:val="baseline"/>
    </w:pPr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styleId="12">
    <w:name w:val="Balloon Text"/>
    <w:basedOn w:val="1"/>
    <w:link w:val="24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3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Fonte parág. padrão11"/>
    <w:qFormat/>
    <w:uiPriority w:val="6"/>
  </w:style>
  <w:style w:type="character" w:customStyle="1" w:styleId="16">
    <w:name w:val="Rodapé Char"/>
    <w:basedOn w:val="3"/>
    <w:link w:val="11"/>
    <w:qFormat/>
    <w:uiPriority w:val="99"/>
    <w:rPr>
      <w:rFonts w:ascii="Liberation Serif" w:hAnsi="Liberation Serif" w:eastAsia="SimSun" w:cs="Mangal"/>
      <w:kern w:val="1"/>
      <w:sz w:val="24"/>
      <w:szCs w:val="24"/>
      <w:lang w:eastAsia="zh-CN" w:bidi="hi-IN"/>
    </w:rPr>
  </w:style>
  <w:style w:type="paragraph" w:customStyle="1" w:styleId="17">
    <w:name w:val="Normal (Web)1"/>
    <w:basedOn w:val="1"/>
    <w:qFormat/>
    <w:uiPriority w:val="7"/>
    <w:pPr>
      <w:spacing w:before="100" w:after="10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zh-CN"/>
    </w:rPr>
  </w:style>
  <w:style w:type="paragraph" w:customStyle="1" w:styleId="18">
    <w:name w:val="LO-Normal"/>
    <w:autoRedefine/>
    <w:qFormat/>
    <w:uiPriority w:val="2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pt-BR" w:eastAsia="zh-CN" w:bidi="hi-IN"/>
    </w:rPr>
  </w:style>
  <w:style w:type="paragraph" w:customStyle="1" w:styleId="19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pt-BR" w:eastAsia="zh-CN" w:bidi="ar-SA"/>
    </w:rPr>
  </w:style>
  <w:style w:type="character" w:customStyle="1" w:styleId="20">
    <w:name w:val="Cabeçalho Char"/>
    <w:basedOn w:val="3"/>
    <w:link w:val="9"/>
    <w:qFormat/>
    <w:uiPriority w:val="99"/>
  </w:style>
  <w:style w:type="paragraph" w:styleId="21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22">
    <w:name w:val="Texto de comentário Char"/>
    <w:basedOn w:val="3"/>
    <w:link w:val="8"/>
    <w:autoRedefine/>
    <w:semiHidden/>
    <w:qFormat/>
    <w:uiPriority w:val="99"/>
    <w:rPr>
      <w:sz w:val="20"/>
      <w:szCs w:val="20"/>
    </w:rPr>
  </w:style>
  <w:style w:type="character" w:customStyle="1" w:styleId="23">
    <w:name w:val="Assunto do comentário Char"/>
    <w:basedOn w:val="22"/>
    <w:link w:val="10"/>
    <w:autoRedefine/>
    <w:semiHidden/>
    <w:qFormat/>
    <w:uiPriority w:val="99"/>
    <w:rPr>
      <w:b/>
      <w:bCs/>
      <w:sz w:val="20"/>
      <w:szCs w:val="20"/>
    </w:rPr>
  </w:style>
  <w:style w:type="character" w:customStyle="1" w:styleId="24">
    <w:name w:val="Texto de balão Char"/>
    <w:basedOn w:val="3"/>
    <w:link w:val="12"/>
    <w:autoRedefine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5">
    <w:name w:val="Tabela Simples 41"/>
    <w:basedOn w:val="4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6">
    <w:name w:val="Tabela Simples 11"/>
    <w:basedOn w:val="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27">
    <w:name w:val="Menção Pendente1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Default"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pt-BR" w:eastAsia="pt-BR" w:bidi="ar-SA"/>
    </w:rPr>
  </w:style>
  <w:style w:type="character" w:customStyle="1" w:styleId="29">
    <w:name w:val="Título 1 Char"/>
    <w:basedOn w:val="3"/>
    <w:link w:val="2"/>
    <w:uiPriority w:val="9"/>
    <w:rPr>
      <w:rFonts w:ascii="Arial" w:hAnsi="Arial" w:cs="Arial"/>
      <w:b/>
      <w:bCs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CC09-FFC7-4E68-9F3A-6E10B34E8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2680</Words>
  <Characters>14472</Characters>
  <Lines>120</Lines>
  <Paragraphs>34</Paragraphs>
  <TotalTime>118</TotalTime>
  <ScaleCrop>false</ScaleCrop>
  <LinksUpToDate>false</LinksUpToDate>
  <CharactersWithSpaces>17118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2023-05-17T13:19:00Z</dcterms:created>
  <dc:creator>sandro</dc:creator>
  <cp:lastModifiedBy>lais</cp:lastModifiedBy>
  <cp:lastPrinted>2022-04-26T18:40:00Z</cp:lastPrinted>
  <dcterms:modified xsi:type="dcterms:W3CDTF">2024-05-13T17:16:48Z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DD396CA01E1D40FA8D57F3153E94448B</vt:lpwstr>
  </property>
</Properties>
</file>