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D1E5E">
      <w:pPr>
        <w:numPr>
          <w:ilvl w:val="0"/>
          <w:numId w:val="0"/>
        </w:numPr>
        <w:jc w:val="center"/>
        <w:outlineLvl w:val="5"/>
        <w:rPr>
          <w:rFonts w:ascii="Calibri" w:hAnsi="Calibri" w:cs="Calibri"/>
          <w:b/>
          <w:bCs/>
          <w:lang w:eastAsia="pt-BR"/>
        </w:rPr>
      </w:pPr>
    </w:p>
    <w:p w14:paraId="46CCA8F2">
      <w:pPr>
        <w:numPr>
          <w:ilvl w:val="0"/>
          <w:numId w:val="0"/>
        </w:numPr>
        <w:jc w:val="center"/>
        <w:outlineLvl w:val="5"/>
        <w:rPr>
          <w:rFonts w:ascii="Calibri" w:hAnsi="Calibri" w:cs="Calibri"/>
          <w:b/>
          <w:bCs/>
          <w:sz w:val="28"/>
          <w:szCs w:val="28"/>
          <w:lang w:eastAsia="pt-BR"/>
        </w:rPr>
      </w:pPr>
      <w:r>
        <w:rPr>
          <w:rFonts w:ascii="Calibri" w:hAnsi="Calibri" w:cs="Calibri"/>
          <w:b/>
          <w:bCs/>
          <w:sz w:val="28"/>
          <w:szCs w:val="28"/>
          <w:lang w:eastAsia="pt-BR"/>
        </w:rPr>
        <w:t>EDITAL DE CHAMADA PÚBLICA CAU/GO Nº 03/2024</w:t>
      </w:r>
    </w:p>
    <w:p w14:paraId="7C35AE67">
      <w:pPr>
        <w:numPr>
          <w:ilvl w:val="0"/>
          <w:numId w:val="0"/>
        </w:numPr>
        <w:spacing w:before="0" w:after="120"/>
        <w:jc w:val="center"/>
        <w:outlineLvl w:val="5"/>
        <w:rPr>
          <w:rFonts w:ascii="Calibri" w:hAnsi="Calibri" w:cs="Calibri"/>
          <w:b/>
          <w:bCs/>
          <w:sz w:val="28"/>
          <w:szCs w:val="28"/>
          <w:lang w:eastAsia="pt-BR"/>
        </w:rPr>
      </w:pPr>
      <w:bookmarkStart w:id="2" w:name="_GoBack"/>
      <w:r>
        <w:rPr>
          <w:rFonts w:ascii="Calibri" w:hAnsi="Calibri" w:cs="Calibri"/>
          <w:b/>
          <w:bCs/>
          <w:sz w:val="28"/>
          <w:szCs w:val="28"/>
          <w:lang w:eastAsia="pt-BR"/>
        </w:rPr>
        <w:t xml:space="preserve">Doação de </w:t>
      </w:r>
      <w:r>
        <w:rPr>
          <w:rFonts w:hint="default" w:ascii="Calibri" w:hAnsi="Calibri" w:cs="Calibri"/>
          <w:b/>
          <w:bCs/>
          <w:sz w:val="28"/>
          <w:szCs w:val="28"/>
          <w:lang w:val="en-US" w:eastAsia="pt-BR"/>
        </w:rPr>
        <w:t>B</w:t>
      </w:r>
      <w:r>
        <w:rPr>
          <w:rFonts w:ascii="Calibri" w:hAnsi="Calibri" w:cs="Calibri"/>
          <w:b/>
          <w:bCs/>
          <w:sz w:val="28"/>
          <w:szCs w:val="28"/>
          <w:lang w:eastAsia="pt-BR"/>
        </w:rPr>
        <w:t xml:space="preserve">ens </w:t>
      </w:r>
      <w:r>
        <w:rPr>
          <w:rFonts w:hint="default" w:ascii="Calibri" w:hAnsi="Calibri" w:cs="Calibri"/>
          <w:b/>
          <w:bCs/>
          <w:sz w:val="28"/>
          <w:szCs w:val="28"/>
          <w:lang w:val="en-US" w:eastAsia="pt-BR"/>
        </w:rPr>
        <w:t>M</w:t>
      </w:r>
      <w:r>
        <w:rPr>
          <w:rFonts w:ascii="Calibri" w:hAnsi="Calibri" w:cs="Calibri"/>
          <w:b/>
          <w:bCs/>
          <w:sz w:val="28"/>
          <w:szCs w:val="28"/>
          <w:lang w:eastAsia="pt-BR"/>
        </w:rPr>
        <w:t>óveis</w:t>
      </w:r>
      <w:bookmarkEnd w:id="2"/>
      <w:r>
        <w:rPr>
          <w:rFonts w:ascii="Calibri" w:hAnsi="Calibri" w:cs="Calibri"/>
          <w:b/>
          <w:bCs/>
          <w:sz w:val="28"/>
          <w:szCs w:val="28"/>
          <w:lang w:eastAsia="pt-BR"/>
        </w:rPr>
        <w:t xml:space="preserve"> </w:t>
      </w:r>
    </w:p>
    <w:p w14:paraId="76AA15D8">
      <w:pPr>
        <w:widowControl/>
        <w:suppressAutoHyphens w:val="0"/>
        <w:spacing w:line="276" w:lineRule="auto"/>
        <w:ind w:firstLine="709"/>
        <w:jc w:val="both"/>
        <w:textAlignment w:val="auto"/>
        <w:rPr>
          <w:rFonts w:ascii="Calibri" w:hAnsi="Calibri" w:eastAsia="Times New Roman" w:cs="Calibri"/>
          <w:kern w:val="0"/>
          <w:lang w:eastAsia="pt-BR" w:bidi="ar-SA"/>
        </w:rPr>
      </w:pPr>
    </w:p>
    <w:p w14:paraId="58C3EB2A">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INTRODUÇÃO</w:t>
      </w:r>
    </w:p>
    <w:p w14:paraId="1814199A">
      <w:pPr>
        <w:pStyle w:val="121"/>
        <w:widowControl/>
        <w:numPr>
          <w:ilvl w:val="1"/>
          <w:numId w:val="2"/>
        </w:numPr>
        <w:suppressAutoHyphens w:val="0"/>
        <w:spacing w:before="120" w:after="120" w:line="276" w:lineRule="auto"/>
        <w:jc w:val="both"/>
        <w:rPr>
          <w:rFonts w:ascii="Calibri" w:hAnsi="Calibri" w:cs="Calibri"/>
          <w:lang w:eastAsia="pt-BR"/>
        </w:rPr>
      </w:pPr>
      <w:r>
        <w:rPr>
          <w:rFonts w:ascii="Calibri" w:hAnsi="Calibri" w:cs="Calibri"/>
          <w:lang w:eastAsia="pt-BR"/>
        </w:rPr>
        <w:t>O CONSELHO DE ARQUITETURA E URBANISMO DE GOIAS (CAU/GO), autarquia federal de fiscalização profissional, regida pela Lei Nº 12.378/2010, inscrito no CNPJ sob o nº 14.896.563/-0001-14, com sede na Av. Engenheiro Eurico Viana, nº 25, Edifício Concept Office, 3º andar, salas 301 a 309, Vila Maria José, CEP 74.815-465, em Goiânia/GO, torna público o presente EDITAL DE CHAMAMENTO PÚBLICO para recebimento de doações de bens móveis, de pessoas físicas ou jurídicas de direito privado, conforme disposições do Decreto nº 9.764, de 11 de abril de 2019 e da Instrução Normativa nº 6, de 12 de agosto de 2019, da Secretaria de Gestão da Secretaria Especial de Desburocratização, Gestão e Governo Digital do Ministério da Economia.</w:t>
      </w:r>
    </w:p>
    <w:p w14:paraId="1FC9DD5F">
      <w:pPr>
        <w:pStyle w:val="121"/>
        <w:widowControl/>
        <w:numPr>
          <w:ilvl w:val="1"/>
          <w:numId w:val="2"/>
        </w:numPr>
        <w:suppressAutoHyphens w:val="0"/>
        <w:spacing w:before="120" w:after="120" w:line="276" w:lineRule="auto"/>
        <w:jc w:val="both"/>
        <w:rPr>
          <w:rFonts w:ascii="Calibri" w:hAnsi="Calibri" w:cs="Calibri"/>
          <w:lang w:eastAsia="pt-BR"/>
        </w:rPr>
      </w:pPr>
      <w:r>
        <w:rPr>
          <w:rFonts w:ascii="Calibri" w:hAnsi="Calibri" w:cs="Calibri"/>
          <w:lang w:eastAsia="pt-BR"/>
        </w:rPr>
        <w:t>As doações visarão ao atendimento do interesse público, observados os princípios que regem a administração pública, em conformidade com as condições e exigências estabelecidas neste Edital e seus anexos.</w:t>
      </w:r>
    </w:p>
    <w:p w14:paraId="5ADB05EA">
      <w:pPr>
        <w:pStyle w:val="121"/>
        <w:widowControl/>
        <w:numPr>
          <w:ilvl w:val="1"/>
          <w:numId w:val="2"/>
        </w:numPr>
        <w:suppressAutoHyphens w:val="0"/>
        <w:spacing w:before="120" w:after="120" w:line="276" w:lineRule="auto"/>
        <w:jc w:val="both"/>
      </w:pPr>
      <w:r>
        <w:rPr>
          <w:rFonts w:ascii="Calibri" w:hAnsi="Calibri" w:cs="Calibri"/>
          <w:lang w:eastAsia="pt-BR"/>
        </w:rPr>
        <w:t xml:space="preserve">O Edital e seus anexos estarão disponíveis exclusivamente no sítio eletrônico do CAU/GO – Portal Transparência: </w:t>
      </w:r>
      <w:r>
        <w:fldChar w:fldCharType="begin"/>
      </w:r>
      <w:r>
        <w:instrText xml:space="preserve"> HYPERLINK "https://transparencia.caugo.gov.br/259-2/" \h </w:instrText>
      </w:r>
      <w:r>
        <w:fldChar w:fldCharType="separate"/>
      </w:r>
      <w:r>
        <w:rPr>
          <w:rStyle w:val="30"/>
          <w:rFonts w:ascii="Calibri" w:hAnsi="Calibri" w:cs="Calibri"/>
          <w:lang w:eastAsia="pt-BR"/>
        </w:rPr>
        <w:t>https://transparencia.caugo.gov.br/259-2/</w:t>
      </w:r>
      <w:r>
        <w:rPr>
          <w:rStyle w:val="30"/>
          <w:rFonts w:ascii="Calibri" w:hAnsi="Calibri" w:cs="Calibri"/>
          <w:lang w:eastAsia="pt-BR"/>
        </w:rPr>
        <w:fldChar w:fldCharType="end"/>
      </w:r>
      <w:r>
        <w:rPr>
          <w:rFonts w:ascii="Calibri" w:hAnsi="Calibri" w:cs="Calibri"/>
          <w:lang w:eastAsia="pt-BR"/>
        </w:rPr>
        <w:t xml:space="preserve">. </w:t>
      </w:r>
    </w:p>
    <w:p w14:paraId="3F60CB02">
      <w:pPr>
        <w:pStyle w:val="121"/>
        <w:widowControl/>
        <w:numPr>
          <w:ilvl w:val="1"/>
          <w:numId w:val="2"/>
        </w:numPr>
        <w:suppressAutoHyphens w:val="0"/>
        <w:spacing w:before="120" w:after="120" w:line="276" w:lineRule="auto"/>
        <w:jc w:val="both"/>
        <w:rPr>
          <w:rFonts w:ascii="Calibri" w:hAnsi="Calibri" w:cs="Calibri"/>
          <w:bCs/>
          <w:lang w:eastAsia="pt-BR"/>
        </w:rPr>
      </w:pPr>
      <w:r>
        <w:rPr>
          <w:rFonts w:ascii="Calibri" w:hAnsi="Calibri" w:cs="Calibri"/>
          <w:lang w:eastAsia="pt-BR"/>
        </w:rPr>
        <w:t xml:space="preserve">O presente Edital de Chamamento Público, ainda que publicado nos veículos apropriados e apto a ser consultado, ficará aberto no período de </w:t>
      </w:r>
      <w:r>
        <w:rPr>
          <w:rFonts w:hint="default" w:ascii="Calibri" w:hAnsi="Calibri" w:cs="Calibri"/>
          <w:highlight w:val="none"/>
          <w:lang w:val="en-US" w:eastAsia="pt-BR"/>
        </w:rPr>
        <w:t>05</w:t>
      </w:r>
      <w:r>
        <w:rPr>
          <w:rFonts w:ascii="Calibri" w:hAnsi="Calibri" w:cs="Calibri"/>
          <w:highlight w:val="none"/>
          <w:lang w:eastAsia="pt-BR"/>
        </w:rPr>
        <w:t>/1</w:t>
      </w:r>
      <w:r>
        <w:rPr>
          <w:rFonts w:hint="default" w:ascii="Calibri" w:hAnsi="Calibri" w:cs="Calibri"/>
          <w:highlight w:val="none"/>
          <w:lang w:val="en-US" w:eastAsia="pt-BR"/>
        </w:rPr>
        <w:t>2</w:t>
      </w:r>
      <w:r>
        <w:rPr>
          <w:rFonts w:ascii="Calibri" w:hAnsi="Calibri" w:cs="Calibri"/>
          <w:highlight w:val="none"/>
          <w:lang w:eastAsia="pt-BR"/>
        </w:rPr>
        <w:t xml:space="preserve">/2024 a </w:t>
      </w:r>
      <w:r>
        <w:rPr>
          <w:rFonts w:hint="default" w:ascii="Calibri" w:hAnsi="Calibri" w:cs="Calibri"/>
          <w:highlight w:val="none"/>
          <w:lang w:val="en-US" w:eastAsia="pt-BR"/>
        </w:rPr>
        <w:t>31</w:t>
      </w:r>
      <w:r>
        <w:rPr>
          <w:rFonts w:ascii="Calibri" w:hAnsi="Calibri" w:cs="Calibri"/>
          <w:highlight w:val="none"/>
          <w:lang w:eastAsia="pt-BR"/>
        </w:rPr>
        <w:t>/12/2024</w:t>
      </w:r>
      <w:r>
        <w:rPr>
          <w:rFonts w:ascii="Calibri" w:hAnsi="Calibri" w:cs="Calibri"/>
          <w:lang w:eastAsia="pt-BR"/>
        </w:rPr>
        <w:t>, compreendendo nesse período todas as fases para conclusão do objeto.</w:t>
      </w:r>
    </w:p>
    <w:p w14:paraId="6CDBF0A9">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 xml:space="preserve">OBJETO </w:t>
      </w:r>
    </w:p>
    <w:p w14:paraId="3A16DEC0">
      <w:pPr>
        <w:pStyle w:val="121"/>
        <w:widowControl/>
        <w:numPr>
          <w:ilvl w:val="0"/>
          <w:numId w:val="3"/>
        </w:numPr>
        <w:suppressAutoHyphens w:val="0"/>
        <w:spacing w:before="120" w:after="120" w:line="276" w:lineRule="auto"/>
        <w:jc w:val="both"/>
        <w:rPr>
          <w:rFonts w:ascii="Calibri" w:hAnsi="Calibri" w:cs="Calibri"/>
          <w:vanish/>
          <w:lang w:eastAsia="pt-BR"/>
        </w:rPr>
      </w:pPr>
    </w:p>
    <w:p w14:paraId="514C0AB1">
      <w:pPr>
        <w:pStyle w:val="121"/>
        <w:widowControl/>
        <w:numPr>
          <w:ilvl w:val="0"/>
          <w:numId w:val="3"/>
        </w:numPr>
        <w:suppressAutoHyphens w:val="0"/>
        <w:spacing w:before="120" w:after="120" w:line="276" w:lineRule="auto"/>
        <w:jc w:val="both"/>
        <w:rPr>
          <w:rFonts w:ascii="Calibri" w:hAnsi="Calibri" w:cs="Calibri"/>
          <w:vanish/>
          <w:lang w:eastAsia="pt-BR"/>
        </w:rPr>
      </w:pPr>
    </w:p>
    <w:p w14:paraId="58BDE5AE">
      <w:pPr>
        <w:pStyle w:val="121"/>
        <w:widowControl/>
        <w:numPr>
          <w:ilvl w:val="1"/>
          <w:numId w:val="3"/>
        </w:numPr>
        <w:suppressAutoHyphens w:val="0"/>
        <w:spacing w:before="120" w:after="120" w:line="276" w:lineRule="auto"/>
        <w:jc w:val="both"/>
        <w:rPr>
          <w:rFonts w:ascii="Calibri" w:hAnsi="Calibri" w:cs="Calibri"/>
          <w:lang w:eastAsia="pt-BR"/>
        </w:rPr>
      </w:pPr>
      <w:r>
        <w:rPr>
          <w:rFonts w:ascii="Calibri" w:hAnsi="Calibri" w:cs="Calibri"/>
          <w:lang w:eastAsia="pt-BR"/>
        </w:rPr>
        <w:t>O presente Edital tem por objeto incentivar doações ao CAU/GO de bens móveis, sem ônus ou encargos, de pessoas físicas ou jurídicas de direito privado, interessadas em apoiar o projeto estabelecido neste Edital.</w:t>
      </w:r>
    </w:p>
    <w:p w14:paraId="5515B998">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JUSTIFICATIVA DA NECESSIDADE E INTERESSE</w:t>
      </w:r>
    </w:p>
    <w:p w14:paraId="469FBA50">
      <w:pPr>
        <w:pStyle w:val="121"/>
        <w:widowControl/>
        <w:numPr>
          <w:ilvl w:val="0"/>
          <w:numId w:val="3"/>
        </w:numPr>
        <w:suppressAutoHyphens w:val="0"/>
        <w:spacing w:before="120" w:after="120" w:line="276" w:lineRule="auto"/>
        <w:jc w:val="both"/>
        <w:rPr>
          <w:rFonts w:ascii="Calibri" w:hAnsi="Calibri" w:cs="Calibri"/>
          <w:vanish/>
          <w:lang w:eastAsia="pt-BR"/>
        </w:rPr>
      </w:pPr>
    </w:p>
    <w:p w14:paraId="75D93725">
      <w:pPr>
        <w:pStyle w:val="121"/>
        <w:widowControl/>
        <w:numPr>
          <w:ilvl w:val="1"/>
          <w:numId w:val="3"/>
        </w:numPr>
        <w:suppressAutoHyphens w:val="0"/>
        <w:spacing w:before="120" w:after="120" w:line="276" w:lineRule="auto"/>
        <w:jc w:val="both"/>
        <w:rPr>
          <w:rFonts w:ascii="Calibri" w:hAnsi="Calibri" w:cs="Calibri"/>
          <w:lang w:eastAsia="pt-BR"/>
        </w:rPr>
      </w:pPr>
      <w:r>
        <w:rPr>
          <w:rFonts w:ascii="Calibri" w:hAnsi="Calibri" w:cs="Calibri"/>
          <w:lang w:eastAsia="pt-BR"/>
        </w:rPr>
        <w:t>A Comissão de Ensino e Formação (CEF - CAU/GO) tem por finalidade promover a articulação entre o CAU/GO e o sistema de ensino de Arquitetura e Urbanismo. Entre outras atribuições, cabe a ela estreitar as relações do Conselho com o sistema educacional da Arquitetura e Urbanismo, no âmbito do Estado de Goiás, além de propor e estimular as instituições de ensino da Arquitetura e Urbanismo a tratarem a questão acadêmica como um processo que sempre se reflete na qualificação profissional e, consequentemente, no nível de vida da comunidade.</w:t>
      </w:r>
    </w:p>
    <w:p w14:paraId="557A7D7F">
      <w:pPr>
        <w:widowControl/>
        <w:suppressAutoHyphens w:val="0"/>
        <w:spacing w:before="120" w:after="120" w:line="276" w:lineRule="auto"/>
        <w:jc w:val="both"/>
        <w:rPr>
          <w:rFonts w:ascii="Calibri" w:hAnsi="Calibri" w:cs="Calibri"/>
          <w:lang w:eastAsia="pt-BR"/>
        </w:rPr>
      </w:pPr>
    </w:p>
    <w:p w14:paraId="74D53BA4">
      <w:pPr>
        <w:pStyle w:val="121"/>
        <w:widowControl/>
        <w:numPr>
          <w:ilvl w:val="1"/>
          <w:numId w:val="3"/>
        </w:numPr>
        <w:suppressAutoHyphens w:val="0"/>
        <w:spacing w:before="120" w:after="120" w:line="276" w:lineRule="auto"/>
        <w:jc w:val="both"/>
        <w:rPr>
          <w:rFonts w:ascii="Calibri" w:hAnsi="Calibri" w:cs="Calibri"/>
          <w:lang w:eastAsia="pt-BR"/>
        </w:rPr>
      </w:pPr>
      <w:r>
        <w:rPr>
          <w:rFonts w:ascii="Calibri" w:hAnsi="Calibri" w:cs="Calibri"/>
          <w:lang w:eastAsia="pt-BR"/>
        </w:rPr>
        <w:t xml:space="preserve">Imbuída dessa missão, a CEF - CAU/GO institui o Prêmio CAU/GO de Trabalhos de Conclusão de Curso. A premiação busca reconhecer a qualidade da formação profissional e sua adequação ao contexto regional. </w:t>
      </w:r>
    </w:p>
    <w:p w14:paraId="25FF7795">
      <w:pPr>
        <w:pStyle w:val="121"/>
        <w:widowControl/>
        <w:numPr>
          <w:ilvl w:val="1"/>
          <w:numId w:val="3"/>
        </w:numPr>
        <w:suppressAutoHyphens w:val="0"/>
        <w:spacing w:before="120" w:after="120" w:line="276" w:lineRule="auto"/>
        <w:jc w:val="both"/>
        <w:rPr>
          <w:rFonts w:ascii="Calibri" w:hAnsi="Calibri" w:cs="Calibri"/>
          <w:lang w:eastAsia="pt-BR"/>
        </w:rPr>
      </w:pPr>
      <w:r>
        <w:rPr>
          <w:rFonts w:ascii="Calibri" w:hAnsi="Calibri" w:cs="Calibri"/>
          <w:lang w:eastAsia="pt-BR"/>
        </w:rPr>
        <w:t>Serão premiados os melhores Trabalhos de Conclusão de Curso de graduação em Arquitetura e Urbanismo das Instituições de Ensino Superior (IES) do Estado de Goiás.</w:t>
      </w:r>
    </w:p>
    <w:p w14:paraId="3F5EEF83">
      <w:pPr>
        <w:pStyle w:val="121"/>
        <w:widowControl/>
        <w:numPr>
          <w:ilvl w:val="1"/>
          <w:numId w:val="3"/>
        </w:numPr>
        <w:suppressAutoHyphens w:val="0"/>
        <w:spacing w:before="120" w:after="120" w:line="276" w:lineRule="auto"/>
        <w:jc w:val="both"/>
        <w:rPr>
          <w:rFonts w:ascii="Calibri" w:hAnsi="Calibri" w:cs="Calibri"/>
          <w:lang w:eastAsia="pt-BR"/>
        </w:rPr>
      </w:pPr>
      <w:r>
        <w:rPr>
          <w:rFonts w:ascii="Calibri" w:hAnsi="Calibri" w:cs="Calibri"/>
          <w:lang w:eastAsia="pt-BR"/>
        </w:rPr>
        <w:t>Será divulgada a produção realizada ao final da formação dos cursos de graduação por meio de uma avaliação crítica, favorecendo o debate da relação entre o ensino e a prática profissional, com o intuito de valorizar os recém-egressos e aproximá-los dos profissionais arquitetos e urbanistas atuantes e do CAU/GO, contribuindo desta forma para a divulgação e o aperfeiçoamento da formação em Arquitetura e Urbanismo no Estado de Goiás.</w:t>
      </w:r>
    </w:p>
    <w:p w14:paraId="07E3A1DF">
      <w:pPr>
        <w:pStyle w:val="121"/>
        <w:widowControl/>
        <w:numPr>
          <w:ilvl w:val="1"/>
          <w:numId w:val="3"/>
        </w:numPr>
        <w:suppressAutoHyphens w:val="0"/>
        <w:spacing w:before="120" w:after="120" w:line="276" w:lineRule="auto"/>
        <w:jc w:val="both"/>
        <w:rPr>
          <w:rFonts w:ascii="Calibri" w:hAnsi="Calibri" w:cs="Calibri"/>
          <w:lang w:eastAsia="pt-BR"/>
        </w:rPr>
      </w:pPr>
      <w:r>
        <w:rPr>
          <w:rFonts w:ascii="Calibri" w:hAnsi="Calibri" w:cs="Calibri"/>
          <w:lang w:eastAsia="pt-BR"/>
        </w:rPr>
        <w:t xml:space="preserve">A premiação abrange os bens móveis recebido por doação, objeto deste Edital, para trabalhos produzidos nas Instituições de Ensino Superior do Estado de Goiás, em seus cursos de graduação em Arquitetura e Urbanismo oficialmente reconhecidos e regulares junto aos órgãos competentes (com portaria de reconhecimento publicada no ato de </w:t>
      </w:r>
      <w:r>
        <w:rPr>
          <w:rFonts w:ascii="Calibri" w:hAnsi="Calibri" w:eastAsia="Times New Roman" w:cs="Calibri"/>
          <w:kern w:val="0"/>
          <w:lang w:eastAsia="pt-BR" w:bidi="ar-SA"/>
        </w:rPr>
        <w:t xml:space="preserve">encerramento das inscrições). </w:t>
      </w:r>
    </w:p>
    <w:p w14:paraId="72D7C1DE">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DESCRIÇÃO E QUANTITATIVO DOS BENS</w:t>
      </w:r>
    </w:p>
    <w:p w14:paraId="320AF742">
      <w:pPr>
        <w:pStyle w:val="121"/>
        <w:widowControl/>
        <w:numPr>
          <w:ilvl w:val="0"/>
          <w:numId w:val="4"/>
        </w:numPr>
        <w:suppressAutoHyphens w:val="0"/>
        <w:spacing w:before="120" w:after="120" w:line="276" w:lineRule="auto"/>
        <w:jc w:val="both"/>
        <w:rPr>
          <w:rFonts w:ascii="Calibri" w:hAnsi="Calibri" w:cs="Calibri"/>
          <w:vanish/>
          <w:color w:val="00000A"/>
          <w:lang w:eastAsia="pt-BR"/>
        </w:rPr>
      </w:pPr>
    </w:p>
    <w:p w14:paraId="091D1A93">
      <w:pPr>
        <w:pStyle w:val="121"/>
        <w:widowControl/>
        <w:numPr>
          <w:ilvl w:val="0"/>
          <w:numId w:val="4"/>
        </w:numPr>
        <w:suppressAutoHyphens w:val="0"/>
        <w:spacing w:before="120" w:after="120" w:line="276" w:lineRule="auto"/>
        <w:jc w:val="both"/>
        <w:rPr>
          <w:rFonts w:ascii="Calibri" w:hAnsi="Calibri" w:cs="Calibri"/>
          <w:vanish/>
          <w:color w:val="00000A"/>
          <w:lang w:eastAsia="pt-BR"/>
        </w:rPr>
      </w:pPr>
    </w:p>
    <w:p w14:paraId="2993B47B">
      <w:pPr>
        <w:pStyle w:val="121"/>
        <w:widowControl/>
        <w:numPr>
          <w:ilvl w:val="0"/>
          <w:numId w:val="2"/>
        </w:numPr>
        <w:suppressAutoHyphens w:val="0"/>
        <w:spacing w:before="120" w:after="120" w:line="276" w:lineRule="auto"/>
        <w:jc w:val="both"/>
        <w:rPr>
          <w:rFonts w:ascii="Calibri" w:hAnsi="Calibri" w:cs="Calibri"/>
          <w:vanish/>
          <w:lang w:eastAsia="pt-BR"/>
        </w:rPr>
      </w:pPr>
    </w:p>
    <w:p w14:paraId="518BC5B4">
      <w:pPr>
        <w:pStyle w:val="121"/>
        <w:widowControl/>
        <w:numPr>
          <w:ilvl w:val="0"/>
          <w:numId w:val="2"/>
        </w:numPr>
        <w:suppressAutoHyphens w:val="0"/>
        <w:spacing w:before="120" w:after="120" w:line="276" w:lineRule="auto"/>
        <w:jc w:val="both"/>
        <w:rPr>
          <w:rFonts w:ascii="Calibri" w:hAnsi="Calibri" w:cs="Calibri"/>
          <w:vanish/>
          <w:lang w:eastAsia="pt-BR"/>
        </w:rPr>
      </w:pPr>
    </w:p>
    <w:p w14:paraId="227B4C95">
      <w:pPr>
        <w:pStyle w:val="121"/>
        <w:widowControl/>
        <w:numPr>
          <w:ilvl w:val="0"/>
          <w:numId w:val="2"/>
        </w:numPr>
        <w:suppressAutoHyphens w:val="0"/>
        <w:spacing w:before="120" w:after="120" w:line="276" w:lineRule="auto"/>
        <w:jc w:val="both"/>
        <w:rPr>
          <w:rFonts w:ascii="Calibri" w:hAnsi="Calibri" w:cs="Calibri"/>
          <w:vanish/>
          <w:lang w:eastAsia="pt-BR"/>
        </w:rPr>
      </w:pPr>
    </w:p>
    <w:p w14:paraId="6A496FAD">
      <w:pPr>
        <w:pStyle w:val="121"/>
        <w:widowControl/>
        <w:numPr>
          <w:ilvl w:val="1"/>
          <w:numId w:val="2"/>
        </w:numPr>
        <w:suppressAutoHyphens w:val="0"/>
        <w:spacing w:before="120" w:after="120" w:line="276" w:lineRule="auto"/>
        <w:jc w:val="both"/>
        <w:rPr>
          <w:rFonts w:ascii="Calibri" w:hAnsi="Calibri" w:cs="Calibri"/>
          <w:lang w:eastAsia="pt-BR"/>
        </w:rPr>
      </w:pPr>
      <w:r>
        <w:rPr>
          <w:rFonts w:ascii="Calibri" w:hAnsi="Calibri" w:cs="Calibri"/>
          <w:lang w:eastAsia="pt-BR"/>
        </w:rPr>
        <w:t>Poderão ser doados os bens móveis inseridos nas seguintes categorias:</w:t>
      </w:r>
    </w:p>
    <w:p w14:paraId="07855937">
      <w:pPr>
        <w:pStyle w:val="121"/>
        <w:widowControl/>
        <w:numPr>
          <w:ilvl w:val="0"/>
          <w:numId w:val="5"/>
        </w:numPr>
        <w:suppressAutoHyphens w:val="0"/>
        <w:spacing w:line="276" w:lineRule="auto"/>
        <w:ind w:left="1429" w:hanging="357"/>
        <w:jc w:val="both"/>
        <w:rPr>
          <w:rFonts w:ascii="Calibri" w:hAnsi="Calibri" w:cs="Calibri"/>
          <w:color w:val="00000A"/>
          <w:lang w:eastAsia="pt-BR"/>
        </w:rPr>
      </w:pPr>
      <w:r>
        <w:rPr>
          <w:rFonts w:ascii="Calibri" w:hAnsi="Calibri" w:cs="Calibri"/>
          <w:color w:val="00000A"/>
          <w:lang w:eastAsia="pt-BR"/>
        </w:rPr>
        <w:t>Móveis e Eletrodomésticos;</w:t>
      </w:r>
    </w:p>
    <w:p w14:paraId="4610FC83">
      <w:pPr>
        <w:pStyle w:val="121"/>
        <w:widowControl/>
        <w:numPr>
          <w:ilvl w:val="0"/>
          <w:numId w:val="5"/>
        </w:numPr>
        <w:suppressAutoHyphens w:val="0"/>
        <w:spacing w:line="276" w:lineRule="auto"/>
        <w:ind w:left="1429" w:hanging="357"/>
        <w:jc w:val="both"/>
        <w:rPr>
          <w:rFonts w:ascii="Calibri" w:hAnsi="Calibri" w:cs="Calibri"/>
          <w:color w:val="00000A"/>
          <w:lang w:eastAsia="pt-BR"/>
        </w:rPr>
      </w:pPr>
      <w:r>
        <w:rPr>
          <w:rFonts w:ascii="Calibri" w:hAnsi="Calibri" w:cs="Calibri"/>
          <w:color w:val="00000A"/>
          <w:lang w:eastAsia="pt-BR"/>
        </w:rPr>
        <w:t>Itens de Decoração;</w:t>
      </w:r>
    </w:p>
    <w:p w14:paraId="656DC334">
      <w:pPr>
        <w:pStyle w:val="121"/>
        <w:widowControl/>
        <w:numPr>
          <w:ilvl w:val="0"/>
          <w:numId w:val="5"/>
        </w:numPr>
        <w:suppressAutoHyphens w:val="0"/>
        <w:spacing w:line="276" w:lineRule="auto"/>
        <w:ind w:left="1429" w:hanging="357"/>
        <w:jc w:val="both"/>
        <w:rPr>
          <w:rFonts w:ascii="Calibri" w:hAnsi="Calibri" w:cs="Calibri"/>
          <w:color w:val="00000A"/>
          <w:lang w:eastAsia="pt-BR"/>
        </w:rPr>
      </w:pPr>
      <w:r>
        <w:rPr>
          <w:rFonts w:ascii="Calibri" w:hAnsi="Calibri" w:cs="Calibri"/>
          <w:color w:val="00000A"/>
          <w:lang w:eastAsia="pt-BR"/>
        </w:rPr>
        <w:t>Equipamentos Eletrônicos;</w:t>
      </w:r>
    </w:p>
    <w:p w14:paraId="35D787B1">
      <w:pPr>
        <w:pStyle w:val="121"/>
        <w:widowControl/>
        <w:numPr>
          <w:ilvl w:val="0"/>
          <w:numId w:val="5"/>
        </w:numPr>
        <w:suppressAutoHyphens w:val="0"/>
        <w:spacing w:line="276" w:lineRule="auto"/>
        <w:ind w:left="1429" w:hanging="357"/>
        <w:jc w:val="both"/>
        <w:rPr>
          <w:rFonts w:ascii="Calibri" w:hAnsi="Calibri" w:cs="Calibri"/>
          <w:color w:val="00000A"/>
          <w:lang w:eastAsia="pt-BR"/>
        </w:rPr>
      </w:pPr>
      <w:r>
        <w:rPr>
          <w:rFonts w:ascii="Calibri" w:hAnsi="Calibri" w:cs="Calibri"/>
          <w:color w:val="00000A"/>
          <w:lang w:eastAsia="pt-BR"/>
        </w:rPr>
        <w:t>Luminárias;</w:t>
      </w:r>
    </w:p>
    <w:p w14:paraId="05C9D54D">
      <w:pPr>
        <w:pStyle w:val="121"/>
        <w:widowControl/>
        <w:numPr>
          <w:ilvl w:val="0"/>
          <w:numId w:val="5"/>
        </w:numPr>
        <w:suppressAutoHyphens w:val="0"/>
        <w:spacing w:line="276" w:lineRule="auto"/>
        <w:ind w:left="1429" w:hanging="357"/>
        <w:jc w:val="both"/>
        <w:rPr>
          <w:rFonts w:ascii="Calibri" w:hAnsi="Calibri" w:cs="Calibri"/>
          <w:color w:val="00000A"/>
          <w:lang w:eastAsia="pt-BR"/>
        </w:rPr>
      </w:pPr>
      <w:r>
        <w:rPr>
          <w:rFonts w:ascii="Calibri" w:hAnsi="Calibri" w:cs="Calibri"/>
          <w:color w:val="00000A"/>
          <w:lang w:eastAsia="pt-BR"/>
        </w:rPr>
        <w:t>Obras de Arte;</w:t>
      </w:r>
    </w:p>
    <w:p w14:paraId="554CB746">
      <w:pPr>
        <w:pStyle w:val="121"/>
        <w:widowControl/>
        <w:numPr>
          <w:ilvl w:val="0"/>
          <w:numId w:val="5"/>
        </w:numPr>
        <w:suppressAutoHyphens w:val="0"/>
        <w:spacing w:line="276" w:lineRule="auto"/>
        <w:ind w:left="1429" w:hanging="357"/>
        <w:jc w:val="both"/>
        <w:rPr>
          <w:rFonts w:ascii="Calibri" w:hAnsi="Calibri" w:cs="Calibri"/>
          <w:color w:val="00000A"/>
          <w:lang w:eastAsia="pt-BR"/>
        </w:rPr>
      </w:pPr>
      <w:r>
        <w:rPr>
          <w:rFonts w:ascii="Calibri" w:hAnsi="Calibri" w:cs="Calibri"/>
          <w:color w:val="00000A"/>
          <w:lang w:eastAsia="pt-BR"/>
        </w:rPr>
        <w:t>Placas ou outros objetos específicos para premiação.</w:t>
      </w:r>
    </w:p>
    <w:p w14:paraId="681D27A1">
      <w:pPr>
        <w:pStyle w:val="121"/>
        <w:widowControl/>
        <w:numPr>
          <w:ilvl w:val="1"/>
          <w:numId w:val="2"/>
        </w:numPr>
        <w:suppressAutoHyphens w:val="0"/>
        <w:spacing w:before="120" w:after="120" w:line="276" w:lineRule="auto"/>
        <w:jc w:val="both"/>
        <w:rPr>
          <w:rFonts w:ascii="Calibri" w:hAnsi="Calibri" w:cs="Calibri"/>
          <w:lang w:eastAsia="pt-BR"/>
        </w:rPr>
      </w:pPr>
      <w:r>
        <w:rPr>
          <w:rFonts w:ascii="Calibri" w:hAnsi="Calibri" w:cs="Calibri"/>
          <w:lang w:eastAsia="pt-BR"/>
        </w:rPr>
        <w:t>O quantitativo máximo de recebimento será de 10 (vinte) unidades para cada tipo de doação.</w:t>
      </w:r>
    </w:p>
    <w:p w14:paraId="5E9226F4">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 xml:space="preserve">CONDIÇÕES DE HABILITAÇÃO </w:t>
      </w:r>
    </w:p>
    <w:p w14:paraId="45332AA1">
      <w:pPr>
        <w:pStyle w:val="121"/>
        <w:widowControl/>
        <w:numPr>
          <w:ilvl w:val="0"/>
          <w:numId w:val="2"/>
        </w:numPr>
        <w:suppressAutoHyphens w:val="0"/>
        <w:spacing w:before="120" w:after="120" w:line="276" w:lineRule="auto"/>
        <w:jc w:val="both"/>
        <w:rPr>
          <w:rFonts w:ascii="Calibri" w:hAnsi="Calibri" w:cs="Calibri"/>
          <w:vanish/>
          <w:color w:val="00000A"/>
          <w:lang w:eastAsia="pt-BR"/>
        </w:rPr>
      </w:pPr>
    </w:p>
    <w:p w14:paraId="59B870AE">
      <w:pPr>
        <w:pStyle w:val="121"/>
        <w:widowControl/>
        <w:numPr>
          <w:ilvl w:val="1"/>
          <w:numId w:val="2"/>
        </w:numPr>
        <w:suppressAutoHyphens w:val="0"/>
        <w:spacing w:before="120" w:after="120" w:line="276" w:lineRule="auto"/>
        <w:ind w:left="709" w:hanging="709"/>
        <w:jc w:val="both"/>
        <w:rPr>
          <w:rFonts w:ascii="Calibri" w:hAnsi="Calibri" w:cs="Calibri"/>
          <w:lang w:eastAsia="pt-BR"/>
        </w:rPr>
      </w:pPr>
      <w:r>
        <w:rPr>
          <w:rFonts w:ascii="Calibri" w:hAnsi="Calibri" w:cs="Calibri"/>
          <w:color w:val="00000A"/>
          <w:lang w:eastAsia="pt-BR"/>
        </w:rPr>
        <w:t>Q</w:t>
      </w:r>
      <w:r>
        <w:rPr>
          <w:rFonts w:ascii="Calibri" w:hAnsi="Calibri" w:cs="Calibri"/>
          <w:lang w:eastAsia="pt-BR"/>
        </w:rPr>
        <w:t>ualquer pessoa física, nacional ou estrangeira em situação regular no país, pessoa jurídica de direito privado, nacional ou estrangeira, poderá se habilitar para os fins do presente Chamamento Público, desde que apresentados os documentos exigidos e atendidas as demais normas legais preconizadas neste Edital.</w:t>
      </w:r>
    </w:p>
    <w:p w14:paraId="1D9A2C93">
      <w:pPr>
        <w:pStyle w:val="121"/>
        <w:widowControl/>
        <w:numPr>
          <w:ilvl w:val="1"/>
          <w:numId w:val="2"/>
        </w:numPr>
        <w:suppressAutoHyphens w:val="0"/>
        <w:spacing w:before="120" w:after="120" w:line="276" w:lineRule="auto"/>
        <w:ind w:left="709" w:hanging="709"/>
        <w:jc w:val="both"/>
        <w:rPr>
          <w:rFonts w:ascii="Calibri" w:hAnsi="Calibri" w:cs="Calibri"/>
          <w:lang w:eastAsia="pt-BR"/>
        </w:rPr>
      </w:pPr>
      <w:r>
        <w:rPr>
          <w:rFonts w:ascii="Calibri" w:hAnsi="Calibri" w:eastAsia="Times New Roman" w:cs="Calibri"/>
          <w:kern w:val="0"/>
          <w:lang w:eastAsia="pt-BR" w:bidi="ar-SA"/>
        </w:rPr>
        <w:t>Com vistas à comprovação da idoneidade da possível doadora, serão consultados:</w:t>
      </w:r>
    </w:p>
    <w:p w14:paraId="66EF853D">
      <w:pPr>
        <w:pStyle w:val="121"/>
        <w:widowControl/>
        <w:numPr>
          <w:ilvl w:val="2"/>
          <w:numId w:val="2"/>
        </w:numPr>
        <w:suppressAutoHyphens w:val="0"/>
        <w:spacing w:line="276" w:lineRule="auto"/>
        <w:ind w:left="1276" w:hanging="567"/>
        <w:jc w:val="both"/>
      </w:pPr>
      <w:r>
        <w:rPr>
          <w:rFonts w:ascii="Calibri" w:hAnsi="Calibri" w:eastAsia="Times New Roman" w:cs="Calibri"/>
          <w:kern w:val="0"/>
          <w:lang w:eastAsia="pt-BR" w:bidi="ar-SA"/>
        </w:rPr>
        <w:t>Cadastro Nacional de Empresas Inidôneas e Suspensas – CEIS, mantido pela Controladoria-Geral da União (</w:t>
      </w:r>
      <w:r>
        <w:fldChar w:fldCharType="begin"/>
      </w:r>
      <w:r>
        <w:instrText xml:space="preserve"> HYPERLINK "https://certidoes.cgu.gov.br/" \h </w:instrText>
      </w:r>
      <w:r>
        <w:fldChar w:fldCharType="separate"/>
      </w:r>
      <w:r>
        <w:rPr>
          <w:rStyle w:val="30"/>
          <w:rFonts w:ascii="Calibri" w:hAnsi="Calibri" w:eastAsia="Times New Roman" w:cs="Calibri"/>
          <w:kern w:val="0"/>
          <w:lang w:eastAsia="pt-BR" w:bidi="ar-SA"/>
        </w:rPr>
        <w:t>https://certidoes.cgu.gov.br/</w:t>
      </w:r>
      <w:r>
        <w:rPr>
          <w:rStyle w:val="30"/>
          <w:rFonts w:ascii="Calibri" w:hAnsi="Calibri" w:eastAsia="Times New Roman" w:cs="Calibri"/>
          <w:kern w:val="0"/>
          <w:lang w:eastAsia="pt-BR" w:bidi="ar-SA"/>
        </w:rPr>
        <w:fldChar w:fldCharType="end"/>
      </w:r>
      <w:r>
        <w:rPr>
          <w:rFonts w:ascii="Calibri" w:hAnsi="Calibri" w:eastAsia="Times New Roman" w:cs="Calibri"/>
          <w:kern w:val="0"/>
          <w:lang w:eastAsia="pt-BR" w:bidi="ar-SA"/>
        </w:rPr>
        <w:t>).</w:t>
      </w:r>
    </w:p>
    <w:p w14:paraId="45FC4B3F">
      <w:pPr>
        <w:widowControl/>
        <w:suppressAutoHyphens w:val="0"/>
        <w:spacing w:line="276" w:lineRule="auto"/>
        <w:jc w:val="both"/>
        <w:rPr>
          <w:rFonts w:ascii="Calibri" w:hAnsi="Calibri" w:eastAsia="Times New Roman" w:cs="Calibri"/>
          <w:kern w:val="0"/>
          <w:lang w:eastAsia="pt-BR" w:bidi="ar-SA"/>
        </w:rPr>
      </w:pPr>
    </w:p>
    <w:p w14:paraId="64FE7F6E">
      <w:pPr>
        <w:widowControl/>
        <w:suppressAutoHyphens w:val="0"/>
        <w:spacing w:line="276" w:lineRule="auto"/>
        <w:jc w:val="both"/>
        <w:rPr>
          <w:rFonts w:ascii="Calibri" w:hAnsi="Calibri" w:eastAsia="Times New Roman" w:cs="Calibri"/>
          <w:kern w:val="0"/>
          <w:lang w:eastAsia="pt-BR" w:bidi="ar-SA"/>
        </w:rPr>
      </w:pPr>
    </w:p>
    <w:p w14:paraId="1B63CEEB">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Cadastro Nacional de Condenações Cíveis por Atos de Improbidade Administrativa, mantido pelo Conselho Nacional de Justiça (</w:t>
      </w:r>
      <w:r>
        <w:rPr>
          <w:rFonts w:ascii="Calibri" w:hAnsi="Calibri" w:eastAsia="Times New Roman" w:cs="Calibri"/>
          <w:color w:val="0000FF"/>
          <w:kern w:val="0"/>
          <w:lang w:eastAsia="pt-BR" w:bidi="ar-SA"/>
        </w:rPr>
        <w:t>www.cnj.jus.br/improbidade_adm/consultar_requerido.php).</w:t>
      </w:r>
    </w:p>
    <w:p w14:paraId="552391E7">
      <w:pPr>
        <w:pStyle w:val="121"/>
        <w:widowControl/>
        <w:numPr>
          <w:ilvl w:val="2"/>
          <w:numId w:val="2"/>
        </w:numPr>
        <w:suppressAutoHyphens w:val="0"/>
        <w:spacing w:line="276" w:lineRule="auto"/>
        <w:ind w:left="1276" w:hanging="567"/>
        <w:jc w:val="both"/>
      </w:pPr>
      <w:r>
        <w:rPr>
          <w:rFonts w:ascii="Calibri" w:hAnsi="Calibri" w:eastAsia="Times New Roman" w:cs="Calibri"/>
          <w:kern w:val="0"/>
          <w:lang w:eastAsia="pt-BR" w:bidi="ar-SA"/>
        </w:rPr>
        <w:t>Lista de Inidôneos e o Cadastro Integrado de Condenações por Ilícitos Administrativos – CADICON, mantidas pelo Tribunal de Contas da União – TCU (</w:t>
      </w:r>
      <w:r>
        <w:fldChar w:fldCharType="begin"/>
      </w:r>
      <w:r>
        <w:instrText xml:space="preserve"> HYPERLINK "https://contas.tcu.gov.br/ords/f?p=INABILITADO:INIDONEOS" \h </w:instrText>
      </w:r>
      <w:r>
        <w:fldChar w:fldCharType="separate"/>
      </w:r>
      <w:r>
        <w:rPr>
          <w:rStyle w:val="30"/>
          <w:rFonts w:ascii="Calibri" w:hAnsi="Calibri" w:eastAsia="Times New Roman" w:cs="Calibri"/>
          <w:kern w:val="0"/>
          <w:lang w:eastAsia="pt-BR" w:bidi="ar-SA"/>
        </w:rPr>
        <w:t>https://contas.tcu.gov.br/ords/f?p=INABILITADO:INIDONEOS</w:t>
      </w:r>
      <w:r>
        <w:rPr>
          <w:rStyle w:val="30"/>
          <w:rFonts w:ascii="Calibri" w:hAnsi="Calibri" w:eastAsia="Times New Roman" w:cs="Calibri"/>
          <w:kern w:val="0"/>
          <w:lang w:eastAsia="pt-BR" w:bidi="ar-SA"/>
        </w:rPr>
        <w:fldChar w:fldCharType="end"/>
      </w:r>
      <w:r>
        <w:rPr>
          <w:rFonts w:ascii="Calibri" w:hAnsi="Calibri" w:eastAsia="Times New Roman" w:cs="Calibri"/>
          <w:kern w:val="0"/>
          <w:lang w:eastAsia="pt-BR" w:bidi="ar-SA"/>
        </w:rPr>
        <w:t>).</w:t>
      </w:r>
    </w:p>
    <w:p w14:paraId="5D034E61">
      <w:pPr>
        <w:pStyle w:val="121"/>
        <w:widowControl/>
        <w:numPr>
          <w:ilvl w:val="2"/>
          <w:numId w:val="2"/>
        </w:numPr>
        <w:suppressAutoHyphens w:val="0"/>
        <w:spacing w:line="276" w:lineRule="auto"/>
        <w:ind w:left="1276" w:hanging="567"/>
        <w:jc w:val="both"/>
      </w:pPr>
      <w:r>
        <w:rPr>
          <w:rFonts w:ascii="Calibri" w:hAnsi="Calibri" w:eastAsia="Times New Roman" w:cs="Calibri"/>
          <w:kern w:val="0"/>
          <w:lang w:eastAsia="pt-BR" w:bidi="ar-SA"/>
        </w:rPr>
        <w:t>Certidão de Regularidade com a Seguridade Social, nos termos indicados no inciso VI, do art. 23, do Decreto nº 9.764/2019.</w:t>
      </w:r>
    </w:p>
    <w:p w14:paraId="2A1040BC">
      <w:pPr>
        <w:pStyle w:val="121"/>
        <w:widowControl/>
        <w:numPr>
          <w:ilvl w:val="2"/>
          <w:numId w:val="2"/>
        </w:numPr>
        <w:suppressAutoHyphens w:val="0"/>
        <w:spacing w:line="276" w:lineRule="auto"/>
        <w:ind w:left="1276" w:hanging="567"/>
        <w:jc w:val="both"/>
      </w:pPr>
      <w:r>
        <w:rPr>
          <w:rFonts w:ascii="Calibri" w:hAnsi="Calibri" w:eastAsia="Times New Roman" w:cs="Calibri"/>
          <w:kern w:val="0"/>
          <w:lang w:eastAsia="pt-BR" w:bidi="ar-SA"/>
        </w:rPr>
        <w:t>Certidão Conjunta Negativa de Débitos relativos a tributos federais</w:t>
      </w:r>
    </w:p>
    <w:p w14:paraId="04DD7530">
      <w:pPr>
        <w:pStyle w:val="121"/>
        <w:widowControl/>
        <w:numPr>
          <w:ilvl w:val="1"/>
          <w:numId w:val="2"/>
        </w:numPr>
        <w:suppressAutoHyphens w:val="0"/>
        <w:spacing w:before="120" w:after="120" w:line="276" w:lineRule="auto"/>
        <w:ind w:left="709" w:hanging="709"/>
        <w:jc w:val="both"/>
        <w:rPr>
          <w:rFonts w:ascii="Calibri" w:hAnsi="Calibri" w:eastAsia="Times New Roman" w:cs="Calibri"/>
          <w:kern w:val="0"/>
          <w:lang w:eastAsia="pt-BR" w:bidi="ar-SA"/>
        </w:rPr>
      </w:pPr>
      <w:r>
        <w:rPr>
          <w:rFonts w:ascii="Calibri" w:hAnsi="Calibri" w:eastAsia="Times New Roman" w:cs="Calibri"/>
          <w:kern w:val="0"/>
          <w:lang w:eastAsia="pt-BR" w:bidi="ar-SA"/>
        </w:rPr>
        <w:t xml:space="preserve">A depender do objeto da doação poderão ser exigidos ainda outros documentos de habilitação. </w:t>
      </w:r>
    </w:p>
    <w:p w14:paraId="554B33D4">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 xml:space="preserve">CRITÉRIOS DE RECEBIMENTO DAS PROPOSTAS E DOAÇÃO </w:t>
      </w:r>
    </w:p>
    <w:p w14:paraId="775BB764">
      <w:pPr>
        <w:pStyle w:val="121"/>
        <w:widowControl/>
        <w:numPr>
          <w:ilvl w:val="0"/>
          <w:numId w:val="2"/>
        </w:numPr>
        <w:suppressAutoHyphens w:val="0"/>
        <w:spacing w:before="120" w:after="120" w:line="276" w:lineRule="auto"/>
        <w:jc w:val="both"/>
        <w:rPr>
          <w:rFonts w:ascii="Calibri" w:hAnsi="Calibri" w:eastAsia="Times New Roman" w:cs="Calibri"/>
          <w:vanish/>
          <w:kern w:val="0"/>
          <w:lang w:eastAsia="pt-BR" w:bidi="ar-SA"/>
        </w:rPr>
      </w:pPr>
    </w:p>
    <w:p w14:paraId="00C03259">
      <w:pPr>
        <w:pStyle w:val="121"/>
        <w:widowControl/>
        <w:numPr>
          <w:ilvl w:val="1"/>
          <w:numId w:val="2"/>
        </w:numPr>
        <w:suppressAutoHyphens w:val="0"/>
        <w:spacing w:before="120" w:after="0" w:line="276" w:lineRule="auto"/>
        <w:jc w:val="both"/>
      </w:pPr>
      <w:r>
        <w:rPr>
          <w:rFonts w:ascii="Calibri" w:hAnsi="Calibri" w:eastAsia="Times New Roman" w:cs="Calibri"/>
          <w:kern w:val="0"/>
          <w:lang w:eastAsia="pt-BR" w:bidi="ar-SA"/>
        </w:rPr>
        <w:t xml:space="preserve">As propostas de doação serão recebidas até às 23h59min do dia XX de XXXXX de 2024, exclusivamente por meio eletrônico, através do e-mail </w:t>
      </w:r>
      <w:r>
        <w:fldChar w:fldCharType="begin"/>
      </w:r>
      <w:r>
        <w:instrText xml:space="preserve"> HYPERLINK "mailto:projetos@caugo.gov.br" \h </w:instrText>
      </w:r>
      <w:r>
        <w:fldChar w:fldCharType="separate"/>
      </w:r>
      <w:r>
        <w:rPr>
          <w:rStyle w:val="30"/>
          <w:rFonts w:ascii="Calibri" w:hAnsi="Calibri" w:eastAsia="Times New Roman" w:cs="Calibri"/>
          <w:kern w:val="0"/>
          <w:lang w:eastAsia="pt-BR" w:bidi="ar-SA"/>
        </w:rPr>
        <w:t>projetos@caugo.gov.br</w:t>
      </w:r>
      <w:r>
        <w:rPr>
          <w:rStyle w:val="30"/>
          <w:rFonts w:ascii="Calibri" w:hAnsi="Calibri" w:eastAsia="Times New Roman" w:cs="Calibri"/>
          <w:kern w:val="0"/>
          <w:lang w:eastAsia="pt-BR" w:bidi="ar-SA"/>
        </w:rPr>
        <w:fldChar w:fldCharType="end"/>
      </w:r>
      <w:r>
        <w:rPr>
          <w:rFonts w:ascii="Calibri" w:hAnsi="Calibri" w:eastAsia="Times New Roman" w:cs="Calibri"/>
          <w:kern w:val="0"/>
          <w:lang w:eastAsia="pt-BR" w:bidi="ar-SA"/>
        </w:rPr>
        <w:t>, mediante o envio dos seguintes documentos:</w:t>
      </w:r>
    </w:p>
    <w:p w14:paraId="3726AE88">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Ficha de Inscrição (Anexo I).</w:t>
      </w:r>
    </w:p>
    <w:p w14:paraId="7D48A0A1">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Termo de Doação (Anexo II).</w:t>
      </w:r>
    </w:p>
    <w:p w14:paraId="33F144B3">
      <w:pPr>
        <w:pStyle w:val="121"/>
        <w:widowControl/>
        <w:numPr>
          <w:ilvl w:val="3"/>
          <w:numId w:val="2"/>
        </w:numPr>
        <w:tabs>
          <w:tab w:val="left" w:pos="1418"/>
        </w:tabs>
        <w:suppressAutoHyphens w:val="0"/>
        <w:spacing w:before="60" w:after="0" w:line="276" w:lineRule="auto"/>
        <w:ind w:left="2127"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Caso a doação seja feita por pessoa jurídica, deverá ser informado o CPF do sócio majoritário, para fins de verificação das restrições dispostas no Decreto nº 9.764, de 11 de abril de 2019.</w:t>
      </w:r>
    </w:p>
    <w:p w14:paraId="2E3B2CF9">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A descrição, as condições, as especificações e os quantitativos dos bens móveis e outras características necessárias à definição do objeto da doação.</w:t>
      </w:r>
    </w:p>
    <w:p w14:paraId="66727414">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O valor de mercado atualizado dos bens móveis ofertado.</w:t>
      </w:r>
    </w:p>
    <w:p w14:paraId="574454C0">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Declaração do doador da propriedade do bem móvel a ser doado.</w:t>
      </w:r>
    </w:p>
    <w:p w14:paraId="5F9E7003">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Declaração do doador de que inexistem demandas administrativas ou judiciais com relação aos bens móveis a serem doados.</w:t>
      </w:r>
    </w:p>
    <w:p w14:paraId="02F4696A">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Localização dos bens móveis, caso aplicável.</w:t>
      </w:r>
    </w:p>
    <w:p w14:paraId="7F910E26">
      <w:pPr>
        <w:pStyle w:val="121"/>
        <w:widowControl/>
        <w:numPr>
          <w:ilvl w:val="2"/>
          <w:numId w:val="2"/>
        </w:numPr>
        <w:tabs>
          <w:tab w:val="left" w:pos="1418"/>
        </w:tabs>
        <w:suppressAutoHyphens w:val="0"/>
        <w:spacing w:before="60" w:after="0"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Fotos dos bens móveis, caso aplicável.</w:t>
      </w:r>
    </w:p>
    <w:p w14:paraId="15186A3A">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O CAU/GO poderá solicitar à proponente a complementação das informações de que trata os subitens supra para subsidiar sua análise quanto à avaliação da necessidade e do interesse no recebimento da doação.</w:t>
      </w:r>
    </w:p>
    <w:p w14:paraId="05DE1B51">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 xml:space="preserve">CRITÉRIOS DE SELEÇÃO E DE JULGAMENTO DAS PROPOSTAS </w:t>
      </w:r>
    </w:p>
    <w:p w14:paraId="0A76ECF5">
      <w:pPr>
        <w:pStyle w:val="121"/>
        <w:widowControl/>
        <w:numPr>
          <w:ilvl w:val="0"/>
          <w:numId w:val="2"/>
        </w:numPr>
        <w:suppressAutoHyphens w:val="0"/>
        <w:spacing w:before="120" w:after="120" w:line="276" w:lineRule="auto"/>
        <w:jc w:val="both"/>
        <w:rPr>
          <w:rFonts w:ascii="Calibri" w:hAnsi="Calibri" w:eastAsia="Times New Roman" w:cs="Calibri"/>
          <w:vanish/>
          <w:kern w:val="0"/>
          <w:lang w:eastAsia="pt-BR" w:bidi="ar-SA"/>
        </w:rPr>
      </w:pPr>
    </w:p>
    <w:p w14:paraId="708E838B">
      <w:pPr>
        <w:pStyle w:val="121"/>
        <w:widowControl/>
        <w:numPr>
          <w:ilvl w:val="1"/>
          <w:numId w:val="2"/>
        </w:numPr>
        <w:suppressAutoHyphens w:val="0"/>
        <w:spacing w:before="120" w:after="120" w:line="276" w:lineRule="auto"/>
        <w:jc w:val="both"/>
      </w:pPr>
      <w:bookmarkStart w:id="0" w:name="_Hlk148608329"/>
      <w:bookmarkEnd w:id="0"/>
      <w:r>
        <w:rPr>
          <w:rFonts w:ascii="Calibri" w:hAnsi="Calibri" w:eastAsia="Times New Roman" w:cs="Calibri"/>
          <w:kern w:val="0"/>
          <w:lang w:eastAsia="pt-BR" w:bidi="ar-SA"/>
        </w:rPr>
        <w:t>O CAU/GO realizará a análise dos documentos da Manifestação de Interesse, observando aos requisitos previstos no presente Edital.</w:t>
      </w:r>
    </w:p>
    <w:p w14:paraId="6077EAF3">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A doação será concretizada mediante assinatura de declaração firmada pela doadora, conforme o modelo disponibilizado no (Anexo II), na hipótese de doações, por pessoa física ou jurídica, que corresponderem a valor inferior aos estabelecidos nos incisos I e II do caput do art. 75 da Lei nº 14.133/2021.</w:t>
      </w:r>
    </w:p>
    <w:p w14:paraId="25982F5F">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bookmarkStart w:id="1" w:name="_Hlk148608356"/>
      <w:bookmarkEnd w:id="1"/>
      <w:r>
        <w:rPr>
          <w:rFonts w:ascii="Calibri" w:hAnsi="Calibri" w:eastAsia="Times New Roman" w:cs="Calibri"/>
          <w:kern w:val="0"/>
          <w:lang w:eastAsia="pt-BR" w:bidi="ar-SA"/>
        </w:rPr>
        <w:t>Atendidas as condições e requisitos exigidos no edital pelo doador, a proposta será avaliada pelo CAU/GO, que deverá se manifestar, de forma motivada, quanto ao interesse ou não em receber o objeto ofertado, dentro do prazo de 3 (três) dias.</w:t>
      </w:r>
    </w:p>
    <w:p w14:paraId="45514574">
      <w:pPr>
        <w:pStyle w:val="121"/>
        <w:widowControl/>
        <w:numPr>
          <w:ilvl w:val="1"/>
          <w:numId w:val="2"/>
        </w:numPr>
        <w:suppressAutoHyphens w:val="0"/>
        <w:spacing w:before="120" w:after="120" w:line="276" w:lineRule="auto"/>
        <w:jc w:val="both"/>
        <w:rPr>
          <w:rFonts w:ascii="Calibri" w:hAnsi="Calibri" w:cs="Calibri"/>
          <w:lang w:eastAsia="pt-BR"/>
        </w:rPr>
      </w:pPr>
      <w:r>
        <w:rPr>
          <w:rFonts w:ascii="Calibri" w:hAnsi="Calibri" w:eastAsia="Times New Roman" w:cs="Calibri"/>
          <w:kern w:val="0"/>
          <w:lang w:eastAsia="pt-BR" w:bidi="ar-SA"/>
        </w:rPr>
        <w:t>O CAU/GO, dentro do prazo estabelecido para manifestação, poderá requerer, diretamente à proponente, informações e esclarecimentos complementares para subsidiar a avaliação do recebimento da doação, bem como sobre a viabilidade de possíveis modificações das características ou especificações da proposta apresentada para adequá-las ao interesse da demanda pretendida.</w:t>
      </w:r>
      <w:r>
        <w:rPr>
          <w:rFonts w:ascii="Calibri" w:hAnsi="Calibri" w:cs="Calibri"/>
          <w:lang w:eastAsia="pt-BR"/>
        </w:rPr>
        <w:t xml:space="preserve"> </w:t>
      </w:r>
    </w:p>
    <w:p w14:paraId="22CE6FBD">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 xml:space="preserve">RECEBIMENTO DAS DOAÇÕES </w:t>
      </w:r>
    </w:p>
    <w:p w14:paraId="607BFBD1">
      <w:pPr>
        <w:pStyle w:val="121"/>
        <w:widowControl/>
        <w:numPr>
          <w:ilvl w:val="0"/>
          <w:numId w:val="2"/>
        </w:numPr>
        <w:suppressAutoHyphens w:val="0"/>
        <w:spacing w:before="120" w:after="120" w:line="276" w:lineRule="auto"/>
        <w:jc w:val="both"/>
        <w:rPr>
          <w:rFonts w:ascii="Calibri" w:hAnsi="Calibri" w:eastAsia="Times New Roman" w:cs="Calibri"/>
          <w:vanish/>
          <w:kern w:val="0"/>
          <w:lang w:eastAsia="pt-BR" w:bidi="ar-SA"/>
        </w:rPr>
      </w:pPr>
    </w:p>
    <w:p w14:paraId="141FFE09">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O recebimento de doações de bens móveis e serviços e a subscrição dos respectivos termos caberá à Presidência do CAU/GO, permitida a delegação.</w:t>
      </w:r>
    </w:p>
    <w:p w14:paraId="56ED0AD7">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É vedada a subscrição dos termos de doação pela autoridade competente quando:</w:t>
      </w:r>
    </w:p>
    <w:p w14:paraId="615C6888">
      <w:pPr>
        <w:pStyle w:val="121"/>
        <w:widowControl/>
        <w:numPr>
          <w:ilvl w:val="0"/>
          <w:numId w:val="6"/>
        </w:numPr>
        <w:suppressAutoHyphens w:val="0"/>
        <w:spacing w:line="276" w:lineRule="auto"/>
        <w:ind w:left="1701" w:hanging="425"/>
        <w:rPr>
          <w:rFonts w:ascii="Calibri" w:hAnsi="Calibri" w:eastAsia="Times New Roman" w:cs="Calibri"/>
          <w:kern w:val="0"/>
          <w:lang w:eastAsia="pt-BR" w:bidi="ar-SA"/>
        </w:rPr>
      </w:pPr>
      <w:r>
        <w:rPr>
          <w:rFonts w:ascii="Calibri" w:hAnsi="Calibri" w:eastAsia="Times New Roman" w:cs="Calibri"/>
          <w:kern w:val="0"/>
          <w:lang w:eastAsia="pt-BR" w:bidi="ar-SA"/>
        </w:rPr>
        <w:t>A proposta de doação for apresentada pela própria autoridade; ou</w:t>
      </w:r>
    </w:p>
    <w:p w14:paraId="109AA75A">
      <w:pPr>
        <w:pStyle w:val="121"/>
        <w:widowControl/>
        <w:numPr>
          <w:ilvl w:val="0"/>
          <w:numId w:val="6"/>
        </w:numPr>
        <w:suppressAutoHyphens w:val="0"/>
        <w:spacing w:line="276" w:lineRule="auto"/>
        <w:ind w:left="1701" w:hanging="425"/>
        <w:jc w:val="both"/>
        <w:rPr>
          <w:rFonts w:ascii="Calibri" w:hAnsi="Calibri" w:eastAsia="Times New Roman" w:cs="Calibri"/>
          <w:kern w:val="0"/>
          <w:lang w:eastAsia="pt-BR" w:bidi="ar-SA"/>
        </w:rPr>
      </w:pPr>
      <w:r>
        <w:rPr>
          <w:rFonts w:ascii="Calibri" w:hAnsi="Calibri" w:eastAsia="Times New Roman" w:cs="Calibri"/>
          <w:kern w:val="0"/>
          <w:lang w:eastAsia="pt-BR" w:bidi="ar-SA"/>
        </w:rPr>
        <w:t>A doadora pessoa física ou o representante da doadora pessoa jurídica sejam parente em linha reta ou colateral, inclusive por afinidade, até o quarto grau, da autoridade.</w:t>
      </w:r>
    </w:p>
    <w:p w14:paraId="51C1A477">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 xml:space="preserve">Nos casos do subitem 8.1.1, a subscrição do termo de doação deve ser feita pela Vice-Presidência do CAU/GO ou por outra autoridade competente, no caso da delegação. </w:t>
      </w:r>
    </w:p>
    <w:p w14:paraId="5A8EB52D">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Cabe ao CAU/GO receber as doações dos bens móveis e verificar as formalidades e requisitos da doação, em conformidade com o disposto no art. 19 do Decreto nº 9.764, de 2019.</w:t>
      </w:r>
    </w:p>
    <w:p w14:paraId="1C569638">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VEDAÇÕES</w:t>
      </w:r>
    </w:p>
    <w:p w14:paraId="74676D3A">
      <w:pPr>
        <w:pStyle w:val="121"/>
        <w:widowControl/>
        <w:numPr>
          <w:ilvl w:val="0"/>
          <w:numId w:val="7"/>
        </w:numPr>
        <w:suppressAutoHyphens w:val="0"/>
        <w:spacing w:before="120" w:after="120" w:line="276" w:lineRule="auto"/>
        <w:jc w:val="both"/>
        <w:rPr>
          <w:rFonts w:ascii="Calibri" w:hAnsi="Calibri" w:cs="Calibri"/>
          <w:vanish/>
          <w:lang w:eastAsia="pt-BR"/>
        </w:rPr>
      </w:pPr>
    </w:p>
    <w:p w14:paraId="47E8B655">
      <w:pPr>
        <w:pStyle w:val="121"/>
        <w:widowControl/>
        <w:numPr>
          <w:ilvl w:val="0"/>
          <w:numId w:val="2"/>
        </w:numPr>
        <w:suppressAutoHyphens w:val="0"/>
        <w:spacing w:before="120" w:after="120" w:line="276" w:lineRule="auto"/>
        <w:jc w:val="both"/>
        <w:rPr>
          <w:rFonts w:ascii="Calibri" w:hAnsi="Calibri" w:eastAsia="Times New Roman" w:cs="Calibri"/>
          <w:vanish/>
          <w:kern w:val="0"/>
          <w:lang w:eastAsia="pt-BR" w:bidi="ar-SA"/>
        </w:rPr>
      </w:pPr>
    </w:p>
    <w:p w14:paraId="19EEA1C1">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Fica vedado o recebimento de doações nas seguintes hipóteses:</w:t>
      </w:r>
    </w:p>
    <w:p w14:paraId="4BAC76ED">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Quando a doadora for pessoa física condenada por ato de improbidade administrativa ou por crime contra a administração pública.</w:t>
      </w:r>
    </w:p>
    <w:p w14:paraId="76DF9B31">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Quando a doadora for pessoa jurídica:</w:t>
      </w:r>
    </w:p>
    <w:p w14:paraId="1D2D67B1">
      <w:pPr>
        <w:pStyle w:val="121"/>
        <w:widowControl/>
        <w:numPr>
          <w:ilvl w:val="3"/>
          <w:numId w:val="2"/>
        </w:numPr>
        <w:suppressAutoHyphens w:val="0"/>
        <w:spacing w:line="276" w:lineRule="auto"/>
        <w:ind w:left="708" w:firstLine="196"/>
        <w:jc w:val="both"/>
        <w:rPr>
          <w:rFonts w:ascii="Calibri" w:hAnsi="Calibri" w:eastAsia="Times New Roman" w:cs="Calibri"/>
          <w:kern w:val="0"/>
          <w:lang w:eastAsia="pt-BR" w:bidi="ar-SA"/>
        </w:rPr>
      </w:pPr>
      <w:r>
        <w:rPr>
          <w:rFonts w:ascii="Calibri" w:hAnsi="Calibri" w:eastAsia="Times New Roman" w:cs="Calibri"/>
          <w:kern w:val="0"/>
          <w:lang w:eastAsia="pt-BR" w:bidi="ar-SA"/>
        </w:rPr>
        <w:t>Declarada inidônea.</w:t>
      </w:r>
    </w:p>
    <w:p w14:paraId="0CFE1F36">
      <w:pPr>
        <w:pStyle w:val="121"/>
        <w:widowControl/>
        <w:numPr>
          <w:ilvl w:val="3"/>
          <w:numId w:val="2"/>
        </w:numPr>
        <w:suppressAutoHyphens w:val="0"/>
        <w:spacing w:line="276" w:lineRule="auto"/>
        <w:ind w:left="708" w:firstLine="196"/>
        <w:jc w:val="both"/>
        <w:rPr>
          <w:rFonts w:ascii="Calibri" w:hAnsi="Calibri" w:eastAsia="Times New Roman" w:cs="Calibri"/>
          <w:kern w:val="0"/>
          <w:lang w:eastAsia="pt-BR" w:bidi="ar-SA"/>
        </w:rPr>
      </w:pPr>
      <w:r>
        <w:rPr>
          <w:rFonts w:ascii="Calibri" w:hAnsi="Calibri" w:eastAsia="Times New Roman" w:cs="Calibri"/>
          <w:kern w:val="0"/>
          <w:lang w:eastAsia="pt-BR" w:bidi="ar-SA"/>
        </w:rPr>
        <w:t>Suspensa ou impedida de contratar com a administração pública.</w:t>
      </w:r>
    </w:p>
    <w:p w14:paraId="4321FB6B">
      <w:pPr>
        <w:pStyle w:val="121"/>
        <w:widowControl/>
        <w:numPr>
          <w:ilvl w:val="3"/>
          <w:numId w:val="2"/>
        </w:numPr>
        <w:suppressAutoHyphens w:val="0"/>
        <w:spacing w:line="276" w:lineRule="auto"/>
        <w:ind w:left="708" w:firstLine="196"/>
        <w:jc w:val="both"/>
      </w:pPr>
      <w:r>
        <w:rPr>
          <w:rFonts w:ascii="Calibri" w:hAnsi="Calibri" w:eastAsia="Times New Roman" w:cs="Calibri"/>
          <w:kern w:val="0"/>
          <w:lang w:eastAsia="pt-BR" w:bidi="ar-SA"/>
        </w:rPr>
        <w:t>Que tenha:</w:t>
      </w:r>
    </w:p>
    <w:p w14:paraId="3317E634">
      <w:pPr>
        <w:pStyle w:val="121"/>
        <w:widowControl/>
        <w:numPr>
          <w:ilvl w:val="0"/>
          <w:numId w:val="0"/>
        </w:numPr>
        <w:suppressAutoHyphens w:val="0"/>
        <w:spacing w:line="276" w:lineRule="auto"/>
        <w:ind w:left="1788" w:firstLine="0"/>
        <w:jc w:val="both"/>
        <w:rPr>
          <w:rFonts w:ascii="Calibri" w:hAnsi="Calibri" w:eastAsia="Times New Roman" w:cs="Calibri"/>
          <w:kern w:val="0"/>
          <w:lang w:eastAsia="pt-BR" w:bidi="ar-SA"/>
        </w:rPr>
      </w:pPr>
    </w:p>
    <w:p w14:paraId="1E69B0F1">
      <w:pPr>
        <w:pStyle w:val="121"/>
        <w:widowControl/>
        <w:numPr>
          <w:ilvl w:val="0"/>
          <w:numId w:val="8"/>
        </w:numPr>
        <w:suppressAutoHyphens w:val="0"/>
        <w:spacing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Sócio majoritário condenado por ato de improbidade administrativa;</w:t>
      </w:r>
    </w:p>
    <w:p w14:paraId="2508CD47">
      <w:pPr>
        <w:pStyle w:val="121"/>
        <w:widowControl/>
        <w:numPr>
          <w:ilvl w:val="0"/>
          <w:numId w:val="8"/>
        </w:numPr>
        <w:suppressAutoHyphens w:val="0"/>
        <w:spacing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Condenação pelo cometimento de ato de improbidade administrativa;</w:t>
      </w:r>
    </w:p>
    <w:p w14:paraId="38663FD2">
      <w:pPr>
        <w:pStyle w:val="121"/>
        <w:widowControl/>
        <w:numPr>
          <w:ilvl w:val="0"/>
          <w:numId w:val="8"/>
        </w:numPr>
        <w:suppressAutoHyphens w:val="0"/>
        <w:spacing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Condenação definitiva pela prática de atos contra a administração pública, nacional ou estrangeira, nos termos do disposto na Lei nº 12.846, de 1º de agosto de 2013.</w:t>
      </w:r>
    </w:p>
    <w:p w14:paraId="3A08D57E">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Quando a doação caracterizar conflito de interesses.</w:t>
      </w:r>
    </w:p>
    <w:p w14:paraId="691D5EB9">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Quando o recebimento gerar obrigação futura de contratação para fornecimento de bens, insumos e peças de marca exclusiva ou de serviços por inexigibilidade de licitação.</w:t>
      </w:r>
    </w:p>
    <w:p w14:paraId="72898DD1">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Quando o recebimento da doação do bem móvel puder gerar despesas adicionais, presentes ou futuras, certas ou potenciais, tais como de responsabilidade subsidiária, recuperação de bens e outras, que venham a tornar antieconômica a doação.</w:t>
      </w:r>
    </w:p>
    <w:p w14:paraId="2C38A4EB">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Quando a doadora for pessoa jurídica e estiver em débito com a seguridade social, nos termos do disposto no § 3º do art. 195, da Constituição.</w:t>
      </w:r>
    </w:p>
    <w:p w14:paraId="0DA42032">
      <w:pPr>
        <w:pStyle w:val="121"/>
        <w:widowControl/>
        <w:numPr>
          <w:ilvl w:val="3"/>
          <w:numId w:val="2"/>
        </w:numPr>
        <w:suppressAutoHyphens w:val="0"/>
        <w:spacing w:line="276" w:lineRule="auto"/>
        <w:ind w:left="1276" w:firstLine="54"/>
        <w:jc w:val="both"/>
        <w:rPr>
          <w:rFonts w:ascii="Calibri" w:hAnsi="Calibri" w:eastAsia="Times New Roman" w:cs="Calibri"/>
          <w:kern w:val="0"/>
          <w:lang w:eastAsia="pt-BR" w:bidi="ar-SA"/>
        </w:rPr>
      </w:pPr>
      <w:r>
        <w:rPr>
          <w:rFonts w:ascii="Calibri" w:hAnsi="Calibri" w:eastAsia="Times New Roman" w:cs="Calibri"/>
          <w:kern w:val="0"/>
          <w:lang w:eastAsia="pt-BR" w:bidi="ar-SA"/>
        </w:rPr>
        <w:t>Os impedimentos de que tratam o subitem 9.1.2.3 serão aplicados à pessoa física ou jurídica independentemente do trânsito em julgado para produção de efeitos, desde que haja decisão judicial válida nesse sentido que não tenha sido suspensa ou cassada por outra.</w:t>
      </w:r>
    </w:p>
    <w:p w14:paraId="3A2A847F">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Fica vedado ainda o recebimento de doações que caracterizem conflito de interesses, como:</w:t>
      </w:r>
    </w:p>
    <w:p w14:paraId="39642721">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Que visem à promoção de candidatos, autoridades ou partidos políticos.</w:t>
      </w:r>
    </w:p>
    <w:p w14:paraId="0D73EB0C">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Em pecúnia, ressalvados os casos previstos em lei.</w:t>
      </w:r>
    </w:p>
    <w:p w14:paraId="489575B6">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Que gerem ou possam gerar obrigações ou encargos futuros à Administração, exceto aqueles decorrentes de sua utilização, desde que não evidenciada a antieconomicidade.</w:t>
      </w:r>
    </w:p>
    <w:p w14:paraId="21981E17">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Direcionadas a agente público específico.</w:t>
      </w:r>
    </w:p>
    <w:p w14:paraId="2BFEDA13">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Cujo objeto seja ilícito.</w:t>
      </w:r>
    </w:p>
    <w:p w14:paraId="30DCAC03">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Cujo o CAU/GO seja responsável pela fiscalização da atividade do doador.</w:t>
      </w:r>
    </w:p>
    <w:p w14:paraId="5FC98A85">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Que atentem contra os princípios da administração pública.</w:t>
      </w:r>
    </w:p>
    <w:p w14:paraId="0A5EA40A">
      <w:pPr>
        <w:pStyle w:val="121"/>
        <w:widowControl/>
        <w:numPr>
          <w:ilvl w:val="1"/>
          <w:numId w:val="2"/>
        </w:numPr>
        <w:suppressAutoHyphens w:val="0"/>
        <w:spacing w:before="120" w:after="12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Casos em que restem dúvida quanto à existência de conflito de interesse serão dirimidos pelo CAU/GO.</w:t>
      </w:r>
    </w:p>
    <w:p w14:paraId="75598645">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 xml:space="preserve">DISPOSIÇÕES FINAIS </w:t>
      </w:r>
    </w:p>
    <w:p w14:paraId="06822F04">
      <w:pPr>
        <w:pStyle w:val="121"/>
        <w:widowControl/>
        <w:numPr>
          <w:ilvl w:val="0"/>
          <w:numId w:val="7"/>
        </w:numPr>
        <w:suppressAutoHyphens w:val="0"/>
        <w:spacing w:before="120" w:after="120" w:line="276" w:lineRule="auto"/>
        <w:jc w:val="both"/>
        <w:rPr>
          <w:rFonts w:ascii="Calibri" w:hAnsi="Calibri" w:cs="Calibri"/>
          <w:vanish/>
          <w:lang w:eastAsia="pt-BR"/>
        </w:rPr>
      </w:pPr>
    </w:p>
    <w:p w14:paraId="7EFAED83">
      <w:pPr>
        <w:pStyle w:val="121"/>
        <w:widowControl/>
        <w:numPr>
          <w:ilvl w:val="0"/>
          <w:numId w:val="2"/>
        </w:numPr>
        <w:suppressAutoHyphens w:val="0"/>
        <w:spacing w:before="120" w:after="120" w:line="276" w:lineRule="auto"/>
        <w:jc w:val="both"/>
        <w:rPr>
          <w:rFonts w:ascii="Calibri" w:hAnsi="Calibri" w:eastAsia="Times New Roman" w:cs="Calibri"/>
          <w:vanish/>
          <w:kern w:val="0"/>
          <w:lang w:eastAsia="pt-BR" w:bidi="ar-SA"/>
        </w:rPr>
      </w:pPr>
    </w:p>
    <w:p w14:paraId="753B8B34">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Fica vedada a utilização dos bens móveis doados para fins publicitários, sendo, contudo, autorizada, após a entrega dos bens objeto da doação:</w:t>
      </w:r>
    </w:p>
    <w:p w14:paraId="00F347C7">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A menção informativa da doação no sítio eletrônico da doadora.</w:t>
      </w:r>
    </w:p>
    <w:p w14:paraId="0838EC85">
      <w:pPr>
        <w:widowControl/>
        <w:suppressAutoHyphens w:val="0"/>
        <w:spacing w:line="276" w:lineRule="auto"/>
        <w:jc w:val="both"/>
        <w:rPr>
          <w:rFonts w:ascii="Calibri" w:hAnsi="Calibri" w:eastAsia="Times New Roman" w:cs="Calibri"/>
          <w:kern w:val="0"/>
          <w:lang w:eastAsia="pt-BR" w:bidi="ar-SA"/>
        </w:rPr>
      </w:pPr>
    </w:p>
    <w:p w14:paraId="0341E8AE">
      <w:pPr>
        <w:widowControl/>
        <w:suppressAutoHyphens w:val="0"/>
        <w:spacing w:line="276" w:lineRule="auto"/>
        <w:jc w:val="both"/>
        <w:rPr>
          <w:rFonts w:ascii="Calibri" w:hAnsi="Calibri" w:eastAsia="Times New Roman" w:cs="Calibri"/>
          <w:kern w:val="0"/>
          <w:lang w:eastAsia="pt-BR" w:bidi="ar-SA"/>
        </w:rPr>
      </w:pPr>
    </w:p>
    <w:p w14:paraId="6F5BD2B4">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Menção nominal à doadora no sítio eletrônico do CAU/GO.</w:t>
      </w:r>
    </w:p>
    <w:p w14:paraId="2EF4171D">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Este Edital de Chamamento Público está sujeito à impugnação por qualquer pessoa, física ou jurídica, no prazo de 5 (cinco) dias úteis, contado da data de publicação do edital.</w:t>
      </w:r>
    </w:p>
    <w:p w14:paraId="1D5F223A">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Não serão conhecidas as impugnações que não apresentarem fundamentos de fato e de direito que obstem o recebimento em doação do bem móvel.</w:t>
      </w:r>
    </w:p>
    <w:p w14:paraId="7A316A16">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Caberá pedido de reconsideração da decisão sobre a impugnação, no prazo de cinco dias úteis, contado da data de sua publicação no sítio eletrônico do CAU/GO.</w:t>
      </w:r>
    </w:p>
    <w:p w14:paraId="5D8FDD0C">
      <w:pPr>
        <w:pStyle w:val="121"/>
        <w:widowControl/>
        <w:numPr>
          <w:ilvl w:val="2"/>
          <w:numId w:val="2"/>
        </w:numPr>
        <w:suppressAutoHyphens w:val="0"/>
        <w:spacing w:line="276" w:lineRule="auto"/>
        <w:ind w:left="1276" w:hanging="567"/>
        <w:jc w:val="both"/>
        <w:rPr>
          <w:rFonts w:ascii="Calibri" w:hAnsi="Calibri" w:eastAsia="Times New Roman" w:cs="Calibri"/>
          <w:kern w:val="0"/>
          <w:lang w:eastAsia="pt-BR" w:bidi="ar-SA"/>
        </w:rPr>
      </w:pPr>
      <w:r>
        <w:rPr>
          <w:rFonts w:ascii="Calibri" w:hAnsi="Calibri" w:eastAsia="Times New Roman" w:cs="Calibri"/>
          <w:kern w:val="0"/>
          <w:lang w:eastAsia="pt-BR" w:bidi="ar-SA"/>
        </w:rPr>
        <w:t>Caberá recurso do resultado do chamamento público, no prazo de 5 (cinco) dias úteis, contado da data sua publicação no sítio eletrônico do CAU/GO.</w:t>
      </w:r>
    </w:p>
    <w:p w14:paraId="480B5285">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O recebimento das doações não caracteriza a novação, o pagamento ou a transação dos débitos dos doadores com a administração pública.</w:t>
      </w:r>
    </w:p>
    <w:p w14:paraId="0BEFB93A">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O CAU/GO será responsável pela inclusão do bem móvel no Sistema Informatizado de Gestão Patrimonial - SISPAT, quando couber, nos termos e nas condições estabelecidos em regulamento.</w:t>
      </w:r>
    </w:p>
    <w:p w14:paraId="10D419E6">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As doações de que trata este Edital observarão os princípios e os objetivos da Política Nacional de Resíduos Sólidos de que trata a Lei nº 12.305, de 2 de agosto de 2010.</w:t>
      </w:r>
    </w:p>
    <w:p w14:paraId="48D3DF2B">
      <w:pPr>
        <w:pStyle w:val="121"/>
        <w:widowControl/>
        <w:numPr>
          <w:ilvl w:val="1"/>
          <w:numId w:val="2"/>
        </w:numPr>
        <w:suppressAutoHyphens w:val="0"/>
        <w:spacing w:before="120" w:after="0" w:line="276" w:lineRule="auto"/>
        <w:jc w:val="both"/>
        <w:rPr>
          <w:rFonts w:ascii="Calibri" w:hAnsi="Calibri" w:eastAsia="Times New Roman" w:cs="Calibri"/>
          <w:kern w:val="0"/>
          <w:lang w:eastAsia="pt-BR" w:bidi="ar-SA"/>
        </w:rPr>
      </w:pPr>
      <w:r>
        <w:rPr>
          <w:rFonts w:ascii="Calibri" w:hAnsi="Calibri" w:eastAsia="Times New Roman" w:cs="Calibri"/>
          <w:kern w:val="0"/>
          <w:lang w:eastAsia="pt-BR" w:bidi="ar-SA"/>
        </w:rPr>
        <w:t>Os atos necessários ao cumprimento do disposto neste Edital serão disponibilizados no Portal de Transparência do CAU/GO, observado o disposto na Lei nº 12.527, de 18 de novembro de 2011.</w:t>
      </w:r>
    </w:p>
    <w:p w14:paraId="134CC27C">
      <w:pPr>
        <w:pStyle w:val="121"/>
        <w:numPr>
          <w:ilvl w:val="0"/>
          <w:numId w:val="1"/>
        </w:numPr>
        <w:spacing w:before="240" w:after="120" w:line="276" w:lineRule="auto"/>
        <w:jc w:val="both"/>
        <w:outlineLvl w:val="0"/>
        <w:rPr>
          <w:rFonts w:ascii="Calibri" w:hAnsi="Calibri" w:cs="Calibri"/>
          <w:b/>
          <w:bCs/>
          <w:lang w:eastAsia="pt-BR"/>
        </w:rPr>
      </w:pPr>
      <w:r>
        <w:rPr>
          <w:rFonts w:ascii="Calibri" w:hAnsi="Calibri" w:cs="Calibri"/>
          <w:b/>
          <w:bCs/>
          <w:lang w:eastAsia="pt-BR"/>
        </w:rPr>
        <w:t>ANEXOS</w:t>
      </w:r>
    </w:p>
    <w:p w14:paraId="2745A67D">
      <w:pPr>
        <w:pStyle w:val="121"/>
        <w:numPr>
          <w:ilvl w:val="0"/>
          <w:numId w:val="7"/>
        </w:numPr>
        <w:tabs>
          <w:tab w:val="left" w:pos="708"/>
        </w:tabs>
        <w:spacing w:before="120" w:after="120" w:line="276" w:lineRule="auto"/>
        <w:jc w:val="both"/>
        <w:textAlignment w:val="baseline"/>
        <w:rPr>
          <w:rFonts w:ascii="Calibri" w:hAnsi="Calibri" w:eastAsia="Arial" w:cs="Calibri"/>
          <w:bCs/>
          <w:vanish/>
          <w:color w:val="00000A"/>
          <w:lang w:bidi="ar-SA"/>
        </w:rPr>
      </w:pPr>
    </w:p>
    <w:p w14:paraId="58C957B5">
      <w:pPr>
        <w:pStyle w:val="121"/>
        <w:numPr>
          <w:ilvl w:val="0"/>
          <w:numId w:val="9"/>
        </w:numPr>
        <w:spacing w:line="276" w:lineRule="auto"/>
        <w:jc w:val="both"/>
        <w:rPr>
          <w:rFonts w:ascii="Calibri" w:hAnsi="Calibri" w:cs="Calibri"/>
          <w:lang w:eastAsia="pt-BR"/>
        </w:rPr>
      </w:pPr>
      <w:r>
        <w:rPr>
          <w:rFonts w:ascii="Calibri" w:hAnsi="Calibri" w:cs="Calibri"/>
          <w:lang w:eastAsia="pt-BR"/>
        </w:rPr>
        <w:t>Anexo I – Ficha de Inscrição</w:t>
      </w:r>
    </w:p>
    <w:p w14:paraId="6289BD78">
      <w:pPr>
        <w:pStyle w:val="121"/>
        <w:numPr>
          <w:ilvl w:val="0"/>
          <w:numId w:val="9"/>
        </w:numPr>
        <w:spacing w:line="276" w:lineRule="auto"/>
        <w:jc w:val="both"/>
        <w:rPr>
          <w:rFonts w:ascii="Calibri" w:hAnsi="Calibri" w:cs="Calibri"/>
          <w:lang w:eastAsia="pt-BR"/>
        </w:rPr>
      </w:pPr>
      <w:r>
        <w:rPr>
          <w:rFonts w:ascii="Calibri" w:hAnsi="Calibri" w:cs="Calibri"/>
          <w:lang w:eastAsia="pt-BR"/>
        </w:rPr>
        <w:t>Anexo II – Termo de Doação</w:t>
      </w:r>
    </w:p>
    <w:p w14:paraId="7AB76B43">
      <w:pPr>
        <w:pStyle w:val="121"/>
        <w:ind w:left="720" w:firstLine="0"/>
        <w:jc w:val="both"/>
        <w:rPr>
          <w:rFonts w:ascii="Calibri" w:hAnsi="Calibri" w:cs="Calibri"/>
          <w:lang w:eastAsia="pt-BR"/>
        </w:rPr>
      </w:pPr>
    </w:p>
    <w:p w14:paraId="05C4BBCB">
      <w:pPr>
        <w:jc w:val="both"/>
        <w:rPr>
          <w:rFonts w:ascii="Calibri" w:hAnsi="Calibri" w:cs="Calibri"/>
          <w:lang w:eastAsia="pt-BR"/>
        </w:rPr>
      </w:pPr>
    </w:p>
    <w:p w14:paraId="42DF47BD">
      <w:pPr>
        <w:jc w:val="right"/>
        <w:rPr>
          <w:rFonts w:ascii="Calibri" w:hAnsi="Calibri" w:cs="Calibri"/>
          <w:lang w:eastAsia="pt-BR"/>
        </w:rPr>
      </w:pPr>
      <w:r>
        <w:rPr>
          <w:rFonts w:ascii="Calibri" w:hAnsi="Calibri" w:cs="Calibri"/>
          <w:lang w:eastAsia="pt-BR"/>
        </w:rPr>
        <w:t xml:space="preserve">Goiânia, </w:t>
      </w:r>
      <w:r>
        <w:rPr>
          <w:rFonts w:hint="default" w:ascii="Calibri" w:hAnsi="Calibri" w:cs="Calibri"/>
          <w:lang w:val="en-US" w:eastAsia="pt-BR"/>
        </w:rPr>
        <w:t>22</w:t>
      </w:r>
      <w:r>
        <w:rPr>
          <w:rFonts w:ascii="Calibri" w:hAnsi="Calibri" w:cs="Calibri"/>
          <w:lang w:eastAsia="pt-BR"/>
        </w:rPr>
        <w:t xml:space="preserve"> de </w:t>
      </w:r>
      <w:r>
        <w:rPr>
          <w:rFonts w:hint="default" w:ascii="Calibri" w:hAnsi="Calibri" w:cs="Calibri"/>
          <w:lang w:val="en-US" w:eastAsia="pt-BR"/>
        </w:rPr>
        <w:t xml:space="preserve">novembro </w:t>
      </w:r>
      <w:r>
        <w:rPr>
          <w:rFonts w:ascii="Calibri" w:hAnsi="Calibri" w:cs="Calibri"/>
          <w:lang w:eastAsia="pt-BR"/>
        </w:rPr>
        <w:t>de 2024.</w:t>
      </w:r>
    </w:p>
    <w:p w14:paraId="30E869D4">
      <w:pPr>
        <w:jc w:val="right"/>
        <w:rPr>
          <w:rFonts w:ascii="Calibri" w:hAnsi="Calibri" w:cs="Calibri"/>
          <w:lang w:eastAsia="pt-BR"/>
        </w:rPr>
      </w:pPr>
    </w:p>
    <w:p w14:paraId="7F9D855A">
      <w:pPr>
        <w:jc w:val="right"/>
        <w:rPr>
          <w:rFonts w:ascii="Calibri" w:hAnsi="Calibri" w:cs="Calibri"/>
          <w:lang w:eastAsia="pt-BR"/>
        </w:rPr>
      </w:pPr>
    </w:p>
    <w:p w14:paraId="770AFD10">
      <w:pPr>
        <w:jc w:val="right"/>
        <w:rPr>
          <w:rFonts w:ascii="Calibri" w:hAnsi="Calibri" w:cs="Calibri"/>
          <w:lang w:eastAsia="pt-BR"/>
        </w:rPr>
      </w:pPr>
    </w:p>
    <w:p w14:paraId="15F6E63F">
      <w:pPr>
        <w:jc w:val="right"/>
        <w:rPr>
          <w:rFonts w:ascii="Calibri" w:hAnsi="Calibri" w:cs="Calibri"/>
          <w:lang w:eastAsia="pt-BR"/>
        </w:rPr>
      </w:pPr>
    </w:p>
    <w:p w14:paraId="014F7C86">
      <w:pPr>
        <w:jc w:val="right"/>
        <w:rPr>
          <w:rFonts w:ascii="Calibri" w:hAnsi="Calibri" w:cs="Calibri"/>
          <w:lang w:eastAsia="pt-BR"/>
        </w:rPr>
      </w:pPr>
    </w:p>
    <w:p w14:paraId="6EEC3A3C">
      <w:pPr>
        <w:jc w:val="right"/>
        <w:rPr>
          <w:rFonts w:ascii="Calibri" w:hAnsi="Calibri" w:cs="Calibri"/>
          <w:lang w:eastAsia="pt-BR"/>
        </w:rPr>
      </w:pPr>
    </w:p>
    <w:p w14:paraId="4A1006B7">
      <w:pPr>
        <w:tabs>
          <w:tab w:val="left" w:pos="708"/>
          <w:tab w:val="left" w:pos="1701"/>
        </w:tabs>
        <w:jc w:val="center"/>
        <w:rPr>
          <w:rFonts w:ascii="Calibri" w:hAnsi="Calibri" w:cs="Calibri"/>
          <w:b/>
          <w:bCs/>
        </w:rPr>
      </w:pPr>
      <w:r>
        <w:rPr>
          <w:rFonts w:ascii="Calibri" w:hAnsi="Calibri" w:cs="Calibri"/>
          <w:b/>
          <w:bCs/>
        </w:rPr>
        <w:t>Simone Buiate Brandão</w:t>
      </w:r>
    </w:p>
    <w:p w14:paraId="49E771C4">
      <w:pPr>
        <w:tabs>
          <w:tab w:val="left" w:pos="708"/>
          <w:tab w:val="left" w:pos="1701"/>
        </w:tabs>
        <w:jc w:val="center"/>
        <w:rPr>
          <w:rFonts w:ascii="Calibri" w:hAnsi="Calibri" w:cs="Calibri"/>
          <w:bCs/>
        </w:rPr>
      </w:pPr>
      <w:r>
        <w:rPr>
          <w:rFonts w:ascii="Calibri" w:hAnsi="Calibri" w:cs="Calibri"/>
          <w:bCs/>
        </w:rPr>
        <w:t>Presidente</w:t>
      </w:r>
    </w:p>
    <w:p w14:paraId="5EA17D99">
      <w:pPr>
        <w:jc w:val="center"/>
      </w:pPr>
    </w:p>
    <w:sectPr>
      <w:headerReference r:id="rId3" w:type="default"/>
      <w:footerReference r:id="rId4" w:type="default"/>
      <w:pgSz w:w="11906" w:h="16838"/>
      <w:pgMar w:top="1871" w:right="1418" w:bottom="1247" w:left="1418" w:header="709" w:footer="0"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auto"/>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80F3C52" w:usb2="00000016" w:usb3="00000000" w:csb0="0004001F" w:csb1="00000000"/>
  </w:font>
  <w:font w:name="Liberation Sans">
    <w:panose1 w:val="020B0604020202020204"/>
    <w:charset w:val="00"/>
    <w:family w:val="swiss"/>
    <w:pitch w:val="default"/>
    <w:sig w:usb0="E0000AFF" w:usb1="500078FF" w:usb2="00000021" w:usb3="00000000" w:csb0="600001BF" w:csb1="DFF70000"/>
  </w:font>
  <w:font w:name="Bitstream Vera Sans">
    <w:altName w:val="Segoe Print"/>
    <w:panose1 w:val="00000000000000000000"/>
    <w:charset w:val="00"/>
    <w:family w:val="auto"/>
    <w:pitch w:val="default"/>
    <w:sig w:usb0="00000000" w:usb1="00000000" w:usb2="00000000" w:usb3="00000000" w:csb0="00000000" w:csb1="00000000"/>
  </w:font>
  <w:font w:name="Lucidasans">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E283">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3721">
    <w:pPr>
      <w:pStyle w:val="10"/>
      <w:tabs>
        <w:tab w:val="left" w:pos="5040"/>
      </w:tabs>
    </w:pPr>
    <w:r>
      <w:drawing>
        <wp:anchor distT="0" distB="2540" distL="114300" distR="115570" simplePos="0" relativeHeight="251659264" behindDoc="1" locked="0" layoutInCell="1" allowOverlap="1">
          <wp:simplePos x="0" y="0"/>
          <wp:positionH relativeFrom="margin">
            <wp:posOffset>-891540</wp:posOffset>
          </wp:positionH>
          <wp:positionV relativeFrom="page">
            <wp:align>top</wp:align>
          </wp:positionV>
          <wp:extent cx="7560310" cy="10647045"/>
          <wp:effectExtent l="0" t="0" r="0" b="0"/>
          <wp:wrapNone/>
          <wp:docPr id="1" name="WordPictureWatermark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Uma imagem contendo Interface gráfica do usuário&#10;&#10;Descrição gerada automaticamente"/>
                  <pic:cNvPicPr>
                    <a:picLocks noChangeAspect="1" noChangeArrowheads="1"/>
                  </pic:cNvPicPr>
                </pic:nvPicPr>
                <pic:blipFill>
                  <a:blip r:embed="rId1"/>
                  <a:stretch>
                    <a:fillRect/>
                  </a:stretch>
                </pic:blipFill>
                <pic:spPr>
                  <a:xfrm>
                    <a:off x="0" y="0"/>
                    <a:ext cx="7560310" cy="1064704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1429" w:hanging="360"/>
      </w:pPr>
      <w:rPr>
        <w:rFonts w:hint="default" w:ascii="Wingdings" w:hAnsi="Wingdings" w:cs="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cs="Wingdings"/>
      </w:rPr>
    </w:lvl>
    <w:lvl w:ilvl="3" w:tentative="0">
      <w:start w:val="1"/>
      <w:numFmt w:val="bullet"/>
      <w:lvlText w:val=""/>
      <w:lvlJc w:val="left"/>
      <w:pPr>
        <w:ind w:left="3589" w:hanging="360"/>
      </w:pPr>
      <w:rPr>
        <w:rFonts w:hint="default" w:ascii="Symbol" w:hAnsi="Symbol" w:cs="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cs="Wingdings"/>
      </w:rPr>
    </w:lvl>
    <w:lvl w:ilvl="6" w:tentative="0">
      <w:start w:val="1"/>
      <w:numFmt w:val="bullet"/>
      <w:lvlText w:val=""/>
      <w:lvlJc w:val="left"/>
      <w:pPr>
        <w:ind w:left="5749" w:hanging="360"/>
      </w:pPr>
      <w:rPr>
        <w:rFonts w:hint="default" w:ascii="Symbol" w:hAnsi="Symbol" w:cs="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cs="Wingdings"/>
      </w:rPr>
    </w:lvl>
  </w:abstractNum>
  <w:abstractNum w:abstractNumId="1">
    <w:nsid w:val="BF205925"/>
    <w:multiLevelType w:val="multilevel"/>
    <w:tmpl w:val="BF205925"/>
    <w:lvl w:ilvl="0" w:tentative="0">
      <w:start w:val="3"/>
      <w:numFmt w:val="decimal"/>
      <w:lvlText w:val="%1"/>
      <w:lvlJc w:val="left"/>
      <w:pPr>
        <w:ind w:left="360" w:hanging="360"/>
      </w:pPr>
    </w:lvl>
    <w:lvl w:ilvl="1" w:tentative="0">
      <w:start w:val="1"/>
      <w:numFmt w:val="decimal"/>
      <w:lvlText w:val="%1.%2"/>
      <w:lvlJc w:val="left"/>
      <w:pPr>
        <w:ind w:left="360" w:hanging="360"/>
      </w:pPr>
      <w:rPr>
        <w:b/>
        <w:bCs/>
        <w:color w:val="00000A"/>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CF092B84"/>
    <w:multiLevelType w:val="multilevel"/>
    <w:tmpl w:val="CF092B84"/>
    <w:lvl w:ilvl="0" w:tentative="0">
      <w:start w:val="1"/>
      <w:numFmt w:val="decimal"/>
      <w:lvlText w:val="%1."/>
      <w:lvlJc w:val="left"/>
      <w:pPr>
        <w:ind w:left="450" w:hanging="450"/>
      </w:pPr>
    </w:lvl>
    <w:lvl w:ilvl="1" w:tentative="0">
      <w:start w:val="1"/>
      <w:numFmt w:val="decimal"/>
      <w:lvlText w:val="%1.%2."/>
      <w:lvlJc w:val="left"/>
      <w:pPr>
        <w:ind w:left="720" w:hanging="720"/>
      </w:pPr>
      <w:rPr>
        <w:rFonts w:ascii="Calibri" w:hAnsi="Calibri"/>
        <w:b/>
        <w:bCs w:val="0"/>
        <w:strike w:val="0"/>
        <w:dstrike w:val="0"/>
        <w:sz w:val="24"/>
        <w:szCs w:val="24"/>
      </w:rPr>
    </w:lvl>
    <w:lvl w:ilvl="2" w:tentative="0">
      <w:start w:val="1"/>
      <w:numFmt w:val="decimal"/>
      <w:lvlText w:val="%1.%2.%3."/>
      <w:lvlJc w:val="left"/>
      <w:pPr>
        <w:ind w:left="1080" w:hanging="1080"/>
      </w:pPr>
      <w:rPr>
        <w:rFonts w:ascii="Calibri" w:hAnsi="Calibri"/>
        <w:b/>
        <w:bCs/>
        <w:sz w:val="24"/>
        <w:szCs w:val="24"/>
      </w:rPr>
    </w:lvl>
    <w:lvl w:ilvl="3" w:tentative="0">
      <w:start w:val="1"/>
      <w:numFmt w:val="decimal"/>
      <w:lvlText w:val="%1.%2.%3.%4."/>
      <w:lvlJc w:val="left"/>
      <w:pPr>
        <w:ind w:left="1080" w:hanging="1080"/>
      </w:pPr>
      <w:rPr>
        <w:rFonts w:ascii="Calibri" w:hAnsi="Calibri"/>
        <w:b/>
        <w:bCs/>
      </w:r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3">
    <w:nsid w:val="0053208E"/>
    <w:multiLevelType w:val="multilevel"/>
    <w:tmpl w:val="0053208E"/>
    <w:lvl w:ilvl="0" w:tentative="0">
      <w:start w:val="1"/>
      <w:numFmt w:val="decimal"/>
      <w:lvlText w:val="%1."/>
      <w:lvlJc w:val="left"/>
      <w:pPr>
        <w:ind w:left="360" w:hanging="360"/>
      </w:pPr>
    </w:lvl>
    <w:lvl w:ilvl="1" w:tentative="0">
      <w:start w:val="1"/>
      <w:numFmt w:val="decimal"/>
      <w:lvlText w:val="%1.%2."/>
      <w:lvlJc w:val="left"/>
      <w:pPr>
        <w:ind w:left="360" w:hanging="360"/>
      </w:pPr>
      <w:rPr>
        <w:b/>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
    <w:nsid w:val="0248C179"/>
    <w:multiLevelType w:val="multilevel"/>
    <w:tmpl w:val="0248C179"/>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
    <w:nsid w:val="03D62ECE"/>
    <w:multiLevelType w:val="multilevel"/>
    <w:tmpl w:val="03D62ECE"/>
    <w:lvl w:ilvl="0" w:tentative="0">
      <w:start w:val="1"/>
      <w:numFmt w:val="lowerLetter"/>
      <w:lvlText w:val="%1)"/>
      <w:lvlJc w:val="left"/>
      <w:pPr>
        <w:ind w:left="1996" w:hanging="360"/>
      </w:pPr>
      <w:rPr>
        <w:rFonts w:ascii="Calibri" w:hAnsi="Calibri"/>
        <w:b/>
        <w:bCs/>
      </w:r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abstractNum w:abstractNumId="6">
    <w:nsid w:val="25B654F3"/>
    <w:multiLevelType w:val="multilevel"/>
    <w:tmpl w:val="25B654F3"/>
    <w:lvl w:ilvl="0" w:tentative="0">
      <w:start w:val="7"/>
      <w:numFmt w:val="decimal"/>
      <w:lvlText w:val="%1."/>
      <w:lvlJc w:val="left"/>
      <w:pPr>
        <w:ind w:left="720" w:hanging="360"/>
      </w:pPr>
    </w:lvl>
    <w:lvl w:ilvl="1" w:tentative="0">
      <w:start w:val="1"/>
      <w:numFmt w:val="decimal"/>
      <w:lvlText w:val="%1.%2"/>
      <w:lvlJc w:val="left"/>
      <w:pPr>
        <w:ind w:left="720" w:hanging="360"/>
      </w:pPr>
      <w:rPr>
        <w:b/>
        <w:bCs/>
        <w:strike w:val="0"/>
        <w:dstrike w:val="0"/>
      </w:r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7">
    <w:nsid w:val="59ADCABA"/>
    <w:multiLevelType w:val="multilevel"/>
    <w:tmpl w:val="59ADCABA"/>
    <w:lvl w:ilvl="0" w:tentative="0">
      <w:start w:val="1"/>
      <w:numFmt w:val="decimal"/>
      <w:lvlText w:val="%1."/>
      <w:lvlJc w:val="left"/>
      <w:pPr>
        <w:ind w:left="450" w:hanging="450"/>
      </w:pPr>
    </w:lvl>
    <w:lvl w:ilvl="1" w:tentative="0">
      <w:start w:val="1"/>
      <w:numFmt w:val="decimal"/>
      <w:lvlText w:val="%1.%2."/>
      <w:lvlJc w:val="left"/>
      <w:pPr>
        <w:ind w:left="720" w:hanging="720"/>
      </w:pPr>
      <w:rPr>
        <w:rFonts w:ascii="Calibri" w:hAnsi="Calibri"/>
        <w:b/>
        <w:bCs w:val="0"/>
        <w:strike w:val="0"/>
        <w:dstrike w:val="0"/>
      </w:rPr>
    </w:lvl>
    <w:lvl w:ilvl="2" w:tentative="0">
      <w:start w:val="1"/>
      <w:numFmt w:val="decimal"/>
      <w:lvlText w:val="%1.%2.%3."/>
      <w:lvlJc w:val="left"/>
      <w:pPr>
        <w:ind w:left="1080" w:hanging="108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8">
    <w:nsid w:val="72183CF9"/>
    <w:multiLevelType w:val="multilevel"/>
    <w:tmpl w:val="72183CF9"/>
    <w:lvl w:ilvl="0" w:tentative="0">
      <w:start w:val="1"/>
      <w:numFmt w:val="lowerLetter"/>
      <w:lvlText w:val="%1)"/>
      <w:lvlJc w:val="left"/>
      <w:pPr>
        <w:ind w:left="2628" w:hanging="360"/>
      </w:pPr>
    </w:lvl>
    <w:lvl w:ilvl="1" w:tentative="0">
      <w:start w:val="1"/>
      <w:numFmt w:val="lowerLetter"/>
      <w:lvlText w:val="%2."/>
      <w:lvlJc w:val="left"/>
      <w:pPr>
        <w:ind w:left="3348" w:hanging="360"/>
      </w:pPr>
    </w:lvl>
    <w:lvl w:ilvl="2" w:tentative="0">
      <w:start w:val="1"/>
      <w:numFmt w:val="lowerRoman"/>
      <w:lvlText w:val="%3."/>
      <w:lvlJc w:val="right"/>
      <w:pPr>
        <w:ind w:left="4068" w:hanging="180"/>
      </w:pPr>
    </w:lvl>
    <w:lvl w:ilvl="3" w:tentative="0">
      <w:start w:val="1"/>
      <w:numFmt w:val="decimal"/>
      <w:lvlText w:val="%4."/>
      <w:lvlJc w:val="left"/>
      <w:pPr>
        <w:ind w:left="4788" w:hanging="360"/>
      </w:pPr>
    </w:lvl>
    <w:lvl w:ilvl="4" w:tentative="0">
      <w:start w:val="1"/>
      <w:numFmt w:val="lowerLetter"/>
      <w:lvlText w:val="%5."/>
      <w:lvlJc w:val="left"/>
      <w:pPr>
        <w:ind w:left="5508" w:hanging="360"/>
      </w:pPr>
    </w:lvl>
    <w:lvl w:ilvl="5" w:tentative="0">
      <w:start w:val="1"/>
      <w:numFmt w:val="lowerRoman"/>
      <w:lvlText w:val="%6."/>
      <w:lvlJc w:val="right"/>
      <w:pPr>
        <w:ind w:left="6228" w:hanging="180"/>
      </w:pPr>
    </w:lvl>
    <w:lvl w:ilvl="6" w:tentative="0">
      <w:start w:val="1"/>
      <w:numFmt w:val="decimal"/>
      <w:lvlText w:val="%7."/>
      <w:lvlJc w:val="left"/>
      <w:pPr>
        <w:ind w:left="6948" w:hanging="360"/>
      </w:pPr>
    </w:lvl>
    <w:lvl w:ilvl="7" w:tentative="0">
      <w:start w:val="1"/>
      <w:numFmt w:val="lowerLetter"/>
      <w:lvlText w:val="%8."/>
      <w:lvlJc w:val="left"/>
      <w:pPr>
        <w:ind w:left="7668" w:hanging="360"/>
      </w:pPr>
    </w:lvl>
    <w:lvl w:ilvl="8" w:tentative="0">
      <w:start w:val="1"/>
      <w:numFmt w:val="lowerRoman"/>
      <w:lvlText w:val="%9."/>
      <w:lvlJc w:val="right"/>
      <w:pPr>
        <w:ind w:left="8388" w:hanging="18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D0A412A"/>
    <w:rsid w:val="1DF15BDF"/>
    <w:rsid w:val="305732A1"/>
    <w:rsid w:val="317A2418"/>
    <w:rsid w:val="3A6366DE"/>
    <w:rsid w:val="4B1650A7"/>
    <w:rsid w:val="57D52A32"/>
    <w:rsid w:val="6DE04B98"/>
    <w:rsid w:val="717C3AE2"/>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suppressAutoHyphens/>
      <w:bidi w:val="0"/>
      <w:jc w:val="left"/>
      <w:textAlignment w:val="baseline"/>
    </w:pPr>
    <w:rPr>
      <w:rFonts w:ascii="Times New Roman" w:hAnsi="Times New Roman" w:eastAsia="SimSun" w:cs="Mangal"/>
      <w:color w:val="auto"/>
      <w:kern w:val="2"/>
      <w:sz w:val="24"/>
      <w:szCs w:val="24"/>
      <w:lang w:val="pt-BR" w:eastAsia="zh-CN" w:bidi="hi-IN"/>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6">
    <w:name w:val="List"/>
    <w:qFormat/>
    <w:uiPriority w:val="0"/>
    <w:pPr>
      <w:widowControl w:val="0"/>
    </w:pPr>
    <w:rPr>
      <w:rFonts w:ascii="Times New Roman" w:hAnsi="Times New Roman" w:eastAsia="Times New Roman" w:cs="Mangal"/>
      <w:color w:val="auto"/>
      <w:kern w:val="0"/>
      <w:sz w:val="24"/>
      <w:szCs w:val="20"/>
      <w:lang w:val="pt-BR" w:eastAsia="pt-BR" w:bidi="ar-SA"/>
    </w:rPr>
  </w:style>
  <w:style w:type="paragraph" w:styleId="7">
    <w:name w:val="Body Text"/>
    <w:basedOn w:val="1"/>
    <w:qFormat/>
    <w:uiPriority w:val="0"/>
    <w:pPr>
      <w:spacing w:before="0" w:after="120"/>
    </w:pPr>
  </w:style>
  <w:style w:type="paragraph" w:styleId="8">
    <w:name w:val="Normal (Web)"/>
    <w:basedOn w:val="9"/>
    <w:qFormat/>
    <w:uiPriority w:val="99"/>
    <w:pPr>
      <w:tabs>
        <w:tab w:val="left" w:pos="708"/>
      </w:tabs>
      <w:spacing w:before="280" w:after="280"/>
    </w:pPr>
    <w:rPr>
      <w:rFonts w:ascii="Times New Roman" w:hAnsi="Times New Roman" w:eastAsia="Times New Roman"/>
    </w:rPr>
  </w:style>
  <w:style w:type="paragraph" w:customStyle="1" w:styleId="9">
    <w:name w:val="Standard"/>
    <w:qFormat/>
    <w:uiPriority w:val="0"/>
    <w:pPr>
      <w:widowControl w:val="0"/>
      <w:tabs>
        <w:tab w:val="left" w:pos="708"/>
      </w:tabs>
      <w:suppressAutoHyphens/>
      <w:bidi w:val="0"/>
      <w:spacing w:line="100" w:lineRule="atLeast"/>
      <w:jc w:val="left"/>
      <w:textAlignment w:val="baseline"/>
    </w:pPr>
    <w:rPr>
      <w:rFonts w:ascii="Cambria" w:hAnsi="Cambria" w:eastAsia="MS Mincho" w:cs="Times New Roman"/>
      <w:color w:val="00000A"/>
      <w:kern w:val="2"/>
      <w:sz w:val="24"/>
      <w:szCs w:val="24"/>
      <w:lang w:val="pt-BR" w:eastAsia="zh-CN" w:bidi="ar-SA"/>
    </w:rPr>
  </w:style>
  <w:style w:type="paragraph" w:styleId="10">
    <w:name w:val="header"/>
    <w:basedOn w:val="1"/>
    <w:qFormat/>
    <w:uiPriority w:val="99"/>
    <w:pPr>
      <w:tabs>
        <w:tab w:val="center" w:pos="4252"/>
        <w:tab w:val="right" w:pos="8504"/>
      </w:tabs>
    </w:pPr>
    <w:rPr>
      <w:szCs w:val="21"/>
    </w:rPr>
  </w:style>
  <w:style w:type="paragraph" w:styleId="11">
    <w:name w:val="footer"/>
    <w:basedOn w:val="1"/>
    <w:qFormat/>
    <w:uiPriority w:val="99"/>
    <w:pPr>
      <w:tabs>
        <w:tab w:val="center" w:pos="4252"/>
        <w:tab w:val="right" w:pos="8504"/>
      </w:tabs>
    </w:pPr>
    <w:rPr>
      <w:szCs w:val="21"/>
    </w:rPr>
  </w:style>
  <w:style w:type="paragraph" w:styleId="12">
    <w:name w:val="caption"/>
    <w:basedOn w:val="1"/>
    <w:qFormat/>
    <w:uiPriority w:val="0"/>
    <w:pPr>
      <w:suppressLineNumbers/>
      <w:spacing w:before="120" w:after="120"/>
    </w:pPr>
    <w:rPr>
      <w:i/>
      <w:iCs/>
    </w:rPr>
  </w:style>
  <w:style w:type="paragraph" w:styleId="13">
    <w:name w:val="Balloon Text"/>
    <w:basedOn w:val="9"/>
    <w:qFormat/>
    <w:uiPriority w:val="0"/>
    <w:rPr>
      <w:rFonts w:ascii="Tahoma" w:hAnsi="Tahoma" w:cs="Tahoma"/>
      <w:sz w:val="16"/>
      <w:szCs w:val="16"/>
    </w:rPr>
  </w:style>
  <w:style w:type="paragraph" w:styleId="14">
    <w:name w:val="Subtitle"/>
    <w:basedOn w:val="15"/>
    <w:qFormat/>
    <w:uiPriority w:val="0"/>
    <w:pPr>
      <w:jc w:val="center"/>
    </w:pPr>
    <w:rPr>
      <w:i/>
      <w:iCs/>
    </w:rPr>
  </w:style>
  <w:style w:type="paragraph" w:customStyle="1" w:styleId="15">
    <w:name w:val="Título1"/>
    <w:qFormat/>
    <w:uiPriority w:val="0"/>
    <w:pPr>
      <w:keepNext/>
      <w:widowControl w:val="0"/>
      <w:spacing w:before="240" w:after="120"/>
    </w:pPr>
    <w:rPr>
      <w:rFonts w:ascii="Arial" w:hAnsi="Arial" w:eastAsia="Microsoft YaHei" w:cs="Mangal"/>
      <w:color w:val="auto"/>
      <w:kern w:val="0"/>
      <w:sz w:val="28"/>
      <w:szCs w:val="28"/>
      <w:lang w:val="pt-BR" w:eastAsia="pt-BR" w:bidi="ar-SA"/>
    </w:rPr>
  </w:style>
  <w:style w:type="table" w:styleId="1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Absatz-Standardschriftart"/>
    <w:qFormat/>
    <w:uiPriority w:val="0"/>
  </w:style>
  <w:style w:type="character" w:customStyle="1" w:styleId="18">
    <w:name w:val="WW-Absatz-Standardschriftart"/>
    <w:qFormat/>
    <w:uiPriority w:val="0"/>
  </w:style>
  <w:style w:type="character" w:customStyle="1" w:styleId="19">
    <w:name w:val="WW-Absatz-Standardschriftart1"/>
    <w:qFormat/>
    <w:uiPriority w:val="0"/>
  </w:style>
  <w:style w:type="character" w:customStyle="1" w:styleId="20">
    <w:name w:val="WW-Absatz-Standardschriftart11"/>
    <w:qFormat/>
    <w:uiPriority w:val="0"/>
  </w:style>
  <w:style w:type="character" w:customStyle="1" w:styleId="21">
    <w:name w:val="WW-Absatz-Standardschriftart111"/>
    <w:qFormat/>
    <w:uiPriority w:val="0"/>
  </w:style>
  <w:style w:type="character" w:customStyle="1" w:styleId="22">
    <w:name w:val="Fonte parág. padrão2"/>
    <w:qFormat/>
    <w:uiPriority w:val="0"/>
  </w:style>
  <w:style w:type="character" w:customStyle="1" w:styleId="23">
    <w:name w:val="Fonte parág. padrão1"/>
    <w:qFormat/>
    <w:uiPriority w:val="0"/>
  </w:style>
  <w:style w:type="character" w:customStyle="1" w:styleId="24">
    <w:name w:val="Cabeçalho Char"/>
    <w:qFormat/>
    <w:uiPriority w:val="99"/>
    <w:rPr>
      <w:rFonts w:ascii="Cambria" w:hAnsi="Cambria" w:eastAsia="MS Mincho" w:cs="Times New Roman"/>
      <w:sz w:val="24"/>
      <w:szCs w:val="24"/>
    </w:rPr>
  </w:style>
  <w:style w:type="character" w:customStyle="1" w:styleId="25">
    <w:name w:val="Rodapé Char"/>
    <w:qFormat/>
    <w:uiPriority w:val="99"/>
    <w:rPr>
      <w:rFonts w:ascii="Cambria" w:hAnsi="Cambria" w:eastAsia="MS Mincho" w:cs="Times New Roman"/>
      <w:sz w:val="24"/>
      <w:szCs w:val="24"/>
    </w:rPr>
  </w:style>
  <w:style w:type="character" w:customStyle="1" w:styleId="26">
    <w:name w:val="Texto de balão Char"/>
    <w:qFormat/>
    <w:uiPriority w:val="0"/>
    <w:rPr>
      <w:rFonts w:ascii="Tahoma" w:hAnsi="Tahoma" w:eastAsia="MS Mincho" w:cs="Tahoma"/>
      <w:sz w:val="16"/>
      <w:szCs w:val="16"/>
    </w:rPr>
  </w:style>
  <w:style w:type="character" w:customStyle="1" w:styleId="27">
    <w:name w:val="Ênfase forte"/>
    <w:qFormat/>
    <w:uiPriority w:val="0"/>
    <w:rPr>
      <w:b/>
      <w:bCs/>
    </w:rPr>
  </w:style>
  <w:style w:type="character" w:customStyle="1" w:styleId="28">
    <w:name w:val="Cabeçalho Char1"/>
    <w:qFormat/>
    <w:uiPriority w:val="0"/>
    <w:rPr>
      <w:szCs w:val="21"/>
    </w:rPr>
  </w:style>
  <w:style w:type="character" w:customStyle="1" w:styleId="29">
    <w:name w:val="Rodapé Char1"/>
    <w:qFormat/>
    <w:uiPriority w:val="0"/>
    <w:rPr>
      <w:szCs w:val="21"/>
    </w:rPr>
  </w:style>
  <w:style w:type="character" w:customStyle="1" w:styleId="30">
    <w:name w:val="Link da Internet"/>
    <w:basedOn w:val="2"/>
    <w:unhideWhenUsed/>
    <w:qFormat/>
    <w:uiPriority w:val="99"/>
    <w:rPr>
      <w:color w:val="0000FF" w:themeColor="hyperlink"/>
      <w:u w:val="single"/>
      <w14:textFill>
        <w14:solidFill>
          <w14:schemeClr w14:val="hlink"/>
        </w14:solidFill>
      </w14:textFill>
    </w:rPr>
  </w:style>
  <w:style w:type="character" w:customStyle="1" w:styleId="31">
    <w:name w:val="Unresolved Mention"/>
    <w:basedOn w:val="2"/>
    <w:semiHidden/>
    <w:unhideWhenUsed/>
    <w:qFormat/>
    <w:uiPriority w:val="99"/>
    <w:rPr>
      <w:color w:val="605E5C"/>
      <w:shd w:val="clear" w:fill="E1DFDD"/>
    </w:rPr>
  </w:style>
  <w:style w:type="character" w:customStyle="1" w:styleId="32">
    <w:name w:val="ListLabel 1"/>
    <w:qFormat/>
    <w:uiPriority w:val="0"/>
    <w:rPr>
      <w:rFonts w:ascii="Calibri" w:hAnsi="Calibri"/>
      <w:b/>
      <w:sz w:val="24"/>
      <w:szCs w:val="24"/>
    </w:rPr>
  </w:style>
  <w:style w:type="character" w:customStyle="1" w:styleId="33">
    <w:name w:val="ListLabel 2"/>
    <w:qFormat/>
    <w:uiPriority w:val="0"/>
    <w:rPr>
      <w:rFonts w:ascii="Calibri" w:hAnsi="Calibri"/>
      <w:b/>
      <w:bCs/>
      <w:sz w:val="24"/>
      <w:szCs w:val="24"/>
    </w:rPr>
  </w:style>
  <w:style w:type="character" w:customStyle="1" w:styleId="34">
    <w:name w:val="ListLabel 3"/>
    <w:qFormat/>
    <w:uiPriority w:val="0"/>
    <w:rPr>
      <w:rFonts w:ascii="Calibri" w:hAnsi="Calibri"/>
      <w:b/>
      <w:bCs/>
    </w:rPr>
  </w:style>
  <w:style w:type="character" w:customStyle="1" w:styleId="35">
    <w:name w:val="ListLabel 4"/>
    <w:qFormat/>
    <w:uiPriority w:val="0"/>
  </w:style>
  <w:style w:type="character" w:customStyle="1" w:styleId="36">
    <w:name w:val="ListLabel 5"/>
    <w:qFormat/>
    <w:uiPriority w:val="0"/>
  </w:style>
  <w:style w:type="character" w:customStyle="1" w:styleId="37">
    <w:name w:val="ListLabel 6"/>
    <w:qFormat/>
    <w:uiPriority w:val="0"/>
  </w:style>
  <w:style w:type="character" w:customStyle="1" w:styleId="38">
    <w:name w:val="ListLabel 7"/>
    <w:qFormat/>
    <w:uiPriority w:val="0"/>
    <w:rPr>
      <w:sz w:val="20"/>
    </w:rPr>
  </w:style>
  <w:style w:type="character" w:customStyle="1" w:styleId="39">
    <w:name w:val="ListLabel 8"/>
    <w:qFormat/>
    <w:uiPriority w:val="0"/>
    <w:rPr>
      <w:sz w:val="20"/>
    </w:rPr>
  </w:style>
  <w:style w:type="character" w:customStyle="1" w:styleId="40">
    <w:name w:val="ListLabel 9"/>
    <w:qFormat/>
    <w:uiPriority w:val="0"/>
    <w:rPr>
      <w:sz w:val="20"/>
    </w:rPr>
  </w:style>
  <w:style w:type="character" w:customStyle="1" w:styleId="41">
    <w:name w:val="ListLabel 10"/>
    <w:qFormat/>
    <w:uiPriority w:val="0"/>
    <w:rPr>
      <w:sz w:val="20"/>
    </w:rPr>
  </w:style>
  <w:style w:type="character" w:customStyle="1" w:styleId="42">
    <w:name w:val="ListLabel 11"/>
    <w:qFormat/>
    <w:uiPriority w:val="0"/>
    <w:rPr>
      <w:sz w:val="20"/>
    </w:rPr>
  </w:style>
  <w:style w:type="character" w:customStyle="1" w:styleId="43">
    <w:name w:val="ListLabel 12"/>
    <w:qFormat/>
    <w:uiPriority w:val="0"/>
    <w:rPr>
      <w:sz w:val="20"/>
    </w:rPr>
  </w:style>
  <w:style w:type="character" w:customStyle="1" w:styleId="44">
    <w:name w:val="ListLabel 13"/>
    <w:qFormat/>
    <w:uiPriority w:val="0"/>
    <w:rPr>
      <w:sz w:val="20"/>
    </w:rPr>
  </w:style>
  <w:style w:type="character" w:customStyle="1" w:styleId="45">
    <w:name w:val="ListLabel 14"/>
    <w:qFormat/>
    <w:uiPriority w:val="0"/>
    <w:rPr>
      <w:sz w:val="20"/>
    </w:rPr>
  </w:style>
  <w:style w:type="character" w:customStyle="1" w:styleId="46">
    <w:name w:val="ListLabel 15"/>
    <w:qFormat/>
    <w:uiPriority w:val="0"/>
    <w:rPr>
      <w:sz w:val="20"/>
    </w:rPr>
  </w:style>
  <w:style w:type="character" w:customStyle="1" w:styleId="47">
    <w:name w:val="ListLabel 16"/>
    <w:qFormat/>
    <w:uiPriority w:val="0"/>
    <w:rPr>
      <w:sz w:val="20"/>
    </w:rPr>
  </w:style>
  <w:style w:type="character" w:customStyle="1" w:styleId="48">
    <w:name w:val="ListLabel 17"/>
    <w:qFormat/>
    <w:uiPriority w:val="0"/>
    <w:rPr>
      <w:sz w:val="20"/>
    </w:rPr>
  </w:style>
  <w:style w:type="character" w:customStyle="1" w:styleId="49">
    <w:name w:val="ListLabel 18"/>
    <w:qFormat/>
    <w:uiPriority w:val="0"/>
    <w:rPr>
      <w:sz w:val="20"/>
    </w:rPr>
  </w:style>
  <w:style w:type="character" w:customStyle="1" w:styleId="50">
    <w:name w:val="ListLabel 19"/>
    <w:qFormat/>
    <w:uiPriority w:val="0"/>
    <w:rPr>
      <w:sz w:val="20"/>
    </w:rPr>
  </w:style>
  <w:style w:type="character" w:customStyle="1" w:styleId="51">
    <w:name w:val="ListLabel 20"/>
    <w:qFormat/>
    <w:uiPriority w:val="0"/>
    <w:rPr>
      <w:sz w:val="20"/>
    </w:rPr>
  </w:style>
  <w:style w:type="character" w:customStyle="1" w:styleId="52">
    <w:name w:val="ListLabel 21"/>
    <w:qFormat/>
    <w:uiPriority w:val="0"/>
    <w:rPr>
      <w:sz w:val="20"/>
    </w:rPr>
  </w:style>
  <w:style w:type="character" w:customStyle="1" w:styleId="53">
    <w:name w:val="ListLabel 22"/>
    <w:qFormat/>
    <w:uiPriority w:val="0"/>
    <w:rPr>
      <w:sz w:val="20"/>
    </w:rPr>
  </w:style>
  <w:style w:type="character" w:customStyle="1" w:styleId="54">
    <w:name w:val="ListLabel 23"/>
    <w:qFormat/>
    <w:uiPriority w:val="0"/>
    <w:rPr>
      <w:sz w:val="20"/>
    </w:rPr>
  </w:style>
  <w:style w:type="character" w:customStyle="1" w:styleId="55">
    <w:name w:val="ListLabel 24"/>
    <w:qFormat/>
    <w:uiPriority w:val="0"/>
    <w:rPr>
      <w:sz w:val="20"/>
    </w:rPr>
  </w:style>
  <w:style w:type="character" w:customStyle="1" w:styleId="56">
    <w:name w:val="ListLabel 25"/>
    <w:qFormat/>
    <w:uiPriority w:val="0"/>
    <w:rPr>
      <w:sz w:val="20"/>
    </w:rPr>
  </w:style>
  <w:style w:type="character" w:customStyle="1" w:styleId="57">
    <w:name w:val="ListLabel 26"/>
    <w:qFormat/>
    <w:uiPriority w:val="0"/>
    <w:rPr>
      <w:sz w:val="20"/>
    </w:rPr>
  </w:style>
  <w:style w:type="character" w:customStyle="1" w:styleId="58">
    <w:name w:val="ListLabel 27"/>
    <w:qFormat/>
    <w:uiPriority w:val="0"/>
    <w:rPr>
      <w:sz w:val="20"/>
    </w:rPr>
  </w:style>
  <w:style w:type="character" w:customStyle="1" w:styleId="59">
    <w:name w:val="ListLabel 28"/>
    <w:qFormat/>
    <w:uiPriority w:val="0"/>
    <w:rPr>
      <w:sz w:val="20"/>
    </w:rPr>
  </w:style>
  <w:style w:type="character" w:customStyle="1" w:styleId="60">
    <w:name w:val="ListLabel 29"/>
    <w:qFormat/>
    <w:uiPriority w:val="0"/>
    <w:rPr>
      <w:sz w:val="20"/>
    </w:rPr>
  </w:style>
  <w:style w:type="character" w:customStyle="1" w:styleId="61">
    <w:name w:val="ListLabel 30"/>
    <w:qFormat/>
    <w:uiPriority w:val="0"/>
    <w:rPr>
      <w:sz w:val="20"/>
    </w:rPr>
  </w:style>
  <w:style w:type="character" w:customStyle="1" w:styleId="62">
    <w:name w:val="ListLabel 31"/>
    <w:qFormat/>
    <w:uiPriority w:val="0"/>
    <w:rPr>
      <w:sz w:val="20"/>
    </w:rPr>
  </w:style>
  <w:style w:type="character" w:customStyle="1" w:styleId="63">
    <w:name w:val="ListLabel 32"/>
    <w:qFormat/>
    <w:uiPriority w:val="0"/>
    <w:rPr>
      <w:sz w:val="20"/>
    </w:rPr>
  </w:style>
  <w:style w:type="character" w:customStyle="1" w:styleId="64">
    <w:name w:val="ListLabel 33"/>
    <w:qFormat/>
    <w:uiPriority w:val="0"/>
    <w:rPr>
      <w:sz w:val="20"/>
    </w:rPr>
  </w:style>
  <w:style w:type="character" w:customStyle="1" w:styleId="65">
    <w:name w:val="ListLabel 34"/>
    <w:qFormat/>
    <w:uiPriority w:val="0"/>
    <w:rPr>
      <w:sz w:val="20"/>
    </w:rPr>
  </w:style>
  <w:style w:type="character" w:customStyle="1" w:styleId="66">
    <w:name w:val="ListLabel 35"/>
    <w:qFormat/>
    <w:uiPriority w:val="0"/>
    <w:rPr>
      <w:sz w:val="20"/>
    </w:rPr>
  </w:style>
  <w:style w:type="character" w:customStyle="1" w:styleId="67">
    <w:name w:val="ListLabel 36"/>
    <w:qFormat/>
    <w:uiPriority w:val="0"/>
    <w:rPr>
      <w:sz w:val="20"/>
    </w:rPr>
  </w:style>
  <w:style w:type="character" w:customStyle="1" w:styleId="68">
    <w:name w:val="ListLabel 37"/>
    <w:qFormat/>
    <w:uiPriority w:val="0"/>
    <w:rPr>
      <w:sz w:val="20"/>
    </w:rPr>
  </w:style>
  <w:style w:type="character" w:customStyle="1" w:styleId="69">
    <w:name w:val="ListLabel 38"/>
    <w:qFormat/>
    <w:uiPriority w:val="0"/>
    <w:rPr>
      <w:sz w:val="20"/>
    </w:rPr>
  </w:style>
  <w:style w:type="character" w:customStyle="1" w:styleId="70">
    <w:name w:val="ListLabel 39"/>
    <w:qFormat/>
    <w:uiPriority w:val="0"/>
    <w:rPr>
      <w:sz w:val="20"/>
    </w:rPr>
  </w:style>
  <w:style w:type="character" w:customStyle="1" w:styleId="71">
    <w:name w:val="ListLabel 40"/>
    <w:qFormat/>
    <w:uiPriority w:val="0"/>
    <w:rPr>
      <w:sz w:val="20"/>
    </w:rPr>
  </w:style>
  <w:style w:type="character" w:customStyle="1" w:styleId="72">
    <w:name w:val="ListLabel 41"/>
    <w:qFormat/>
    <w:uiPriority w:val="0"/>
    <w:rPr>
      <w:sz w:val="20"/>
    </w:rPr>
  </w:style>
  <w:style w:type="character" w:customStyle="1" w:styleId="73">
    <w:name w:val="ListLabel 42"/>
    <w:qFormat/>
    <w:uiPriority w:val="0"/>
    <w:rPr>
      <w:sz w:val="20"/>
    </w:rPr>
  </w:style>
  <w:style w:type="character" w:customStyle="1" w:styleId="74">
    <w:name w:val="ListLabel 43"/>
    <w:qFormat/>
    <w:uiPriority w:val="0"/>
    <w:rPr>
      <w:rFonts w:cs="Courier New"/>
    </w:rPr>
  </w:style>
  <w:style w:type="character" w:customStyle="1" w:styleId="75">
    <w:name w:val="ListLabel 44"/>
    <w:qFormat/>
    <w:uiPriority w:val="0"/>
    <w:rPr>
      <w:rFonts w:cs="Courier New"/>
    </w:rPr>
  </w:style>
  <w:style w:type="character" w:customStyle="1" w:styleId="76">
    <w:name w:val="ListLabel 45"/>
    <w:qFormat/>
    <w:uiPriority w:val="0"/>
    <w:rPr>
      <w:rFonts w:cs="Courier New"/>
    </w:rPr>
  </w:style>
  <w:style w:type="character" w:customStyle="1" w:styleId="77">
    <w:name w:val="ListLabel 46"/>
    <w:qFormat/>
    <w:uiPriority w:val="0"/>
    <w:rPr>
      <w:rFonts w:cs="Courier New"/>
    </w:rPr>
  </w:style>
  <w:style w:type="character" w:customStyle="1" w:styleId="78">
    <w:name w:val="ListLabel 47"/>
    <w:qFormat/>
    <w:uiPriority w:val="0"/>
    <w:rPr>
      <w:rFonts w:cs="Courier New"/>
    </w:rPr>
  </w:style>
  <w:style w:type="character" w:customStyle="1" w:styleId="79">
    <w:name w:val="ListLabel 48"/>
    <w:qFormat/>
    <w:uiPriority w:val="0"/>
    <w:rPr>
      <w:rFonts w:cs="Courier New"/>
    </w:rPr>
  </w:style>
  <w:style w:type="character" w:customStyle="1" w:styleId="80">
    <w:name w:val="ListLabel 49"/>
    <w:qFormat/>
    <w:uiPriority w:val="0"/>
    <w:rPr>
      <w:b/>
      <w:bCs/>
    </w:rPr>
  </w:style>
  <w:style w:type="character" w:customStyle="1" w:styleId="81">
    <w:name w:val="ListLabel 50"/>
    <w:qFormat/>
    <w:uiPriority w:val="0"/>
    <w:rPr>
      <w:b/>
      <w:bCs/>
      <w:color w:val="00000A"/>
    </w:rPr>
  </w:style>
  <w:style w:type="character" w:customStyle="1" w:styleId="82">
    <w:name w:val="ListLabel 51"/>
    <w:qFormat/>
    <w:uiPriority w:val="0"/>
    <w:rPr>
      <w:b/>
      <w:bCs/>
    </w:rPr>
  </w:style>
  <w:style w:type="character" w:customStyle="1" w:styleId="83">
    <w:name w:val="ListLabel 52"/>
    <w:qFormat/>
    <w:uiPriority w:val="0"/>
    <w:rPr>
      <w:b/>
      <w:bCs/>
    </w:rPr>
  </w:style>
  <w:style w:type="character" w:customStyle="1" w:styleId="84">
    <w:name w:val="ListLabel 53"/>
    <w:qFormat/>
    <w:uiPriority w:val="0"/>
    <w:rPr>
      <w:b/>
      <w:bCs/>
    </w:rPr>
  </w:style>
  <w:style w:type="character" w:customStyle="1" w:styleId="85">
    <w:name w:val="ListLabel 54"/>
    <w:qFormat/>
    <w:uiPriority w:val="0"/>
    <w:rPr>
      <w:rFonts w:cs="Courier New"/>
    </w:rPr>
  </w:style>
  <w:style w:type="character" w:customStyle="1" w:styleId="86">
    <w:name w:val="ListLabel 55"/>
    <w:qFormat/>
    <w:uiPriority w:val="0"/>
    <w:rPr>
      <w:rFonts w:cs="Courier New"/>
    </w:rPr>
  </w:style>
  <w:style w:type="character" w:customStyle="1" w:styleId="87">
    <w:name w:val="ListLabel 56"/>
    <w:qFormat/>
    <w:uiPriority w:val="0"/>
    <w:rPr>
      <w:rFonts w:cs="Courier New"/>
    </w:rPr>
  </w:style>
  <w:style w:type="character" w:customStyle="1" w:styleId="88">
    <w:name w:val="ListLabel 57"/>
    <w:qFormat/>
    <w:uiPriority w:val="0"/>
    <w:rPr>
      <w:rFonts w:cs="Courier New"/>
    </w:rPr>
  </w:style>
  <w:style w:type="character" w:customStyle="1" w:styleId="89">
    <w:name w:val="ListLabel 58"/>
    <w:qFormat/>
    <w:uiPriority w:val="0"/>
    <w:rPr>
      <w:rFonts w:cs="Courier New"/>
    </w:rPr>
  </w:style>
  <w:style w:type="character" w:customStyle="1" w:styleId="90">
    <w:name w:val="ListLabel 59"/>
    <w:qFormat/>
    <w:uiPriority w:val="0"/>
    <w:rPr>
      <w:rFonts w:cs="Courier New"/>
    </w:rPr>
  </w:style>
  <w:style w:type="character" w:customStyle="1" w:styleId="91">
    <w:name w:val="ListLabel 60"/>
    <w:qFormat/>
    <w:uiPriority w:val="0"/>
    <w:rPr>
      <w:rFonts w:cs="Courier New"/>
    </w:rPr>
  </w:style>
  <w:style w:type="character" w:customStyle="1" w:styleId="92">
    <w:name w:val="ListLabel 61"/>
    <w:qFormat/>
    <w:uiPriority w:val="0"/>
    <w:rPr>
      <w:rFonts w:cs="Courier New"/>
    </w:rPr>
  </w:style>
  <w:style w:type="character" w:customStyle="1" w:styleId="93">
    <w:name w:val="ListLabel 62"/>
    <w:qFormat/>
    <w:uiPriority w:val="0"/>
    <w:rPr>
      <w:rFonts w:cs="Courier New"/>
    </w:rPr>
  </w:style>
  <w:style w:type="character" w:customStyle="1" w:styleId="94">
    <w:name w:val="ListLabel 63"/>
    <w:qFormat/>
    <w:uiPriority w:val="0"/>
    <w:rPr>
      <w:b/>
      <w:bCs/>
    </w:rPr>
  </w:style>
  <w:style w:type="character" w:customStyle="1" w:styleId="95">
    <w:name w:val="ListLabel 64"/>
    <w:qFormat/>
    <w:uiPriority w:val="0"/>
    <w:rPr>
      <w:rFonts w:cs="Courier New"/>
    </w:rPr>
  </w:style>
  <w:style w:type="character" w:customStyle="1" w:styleId="96">
    <w:name w:val="ListLabel 65"/>
    <w:qFormat/>
    <w:uiPriority w:val="0"/>
    <w:rPr>
      <w:rFonts w:cs="Courier New"/>
    </w:rPr>
  </w:style>
  <w:style w:type="character" w:customStyle="1" w:styleId="97">
    <w:name w:val="ListLabel 66"/>
    <w:qFormat/>
    <w:uiPriority w:val="0"/>
    <w:rPr>
      <w:rFonts w:cs="Courier New"/>
    </w:rPr>
  </w:style>
  <w:style w:type="character" w:customStyle="1" w:styleId="98">
    <w:name w:val="ListLabel 67"/>
    <w:qFormat/>
    <w:uiPriority w:val="0"/>
    <w:rPr>
      <w:rFonts w:cs="Courier New"/>
    </w:rPr>
  </w:style>
  <w:style w:type="character" w:customStyle="1" w:styleId="99">
    <w:name w:val="ListLabel 68"/>
    <w:qFormat/>
    <w:uiPriority w:val="0"/>
    <w:rPr>
      <w:rFonts w:cs="Courier New"/>
    </w:rPr>
  </w:style>
  <w:style w:type="character" w:customStyle="1" w:styleId="100">
    <w:name w:val="ListLabel 69"/>
    <w:qFormat/>
    <w:uiPriority w:val="0"/>
    <w:rPr>
      <w:rFonts w:cs="Courier New"/>
    </w:rPr>
  </w:style>
  <w:style w:type="character" w:customStyle="1" w:styleId="101">
    <w:name w:val="ListLabel 70"/>
    <w:qFormat/>
    <w:uiPriority w:val="0"/>
    <w:rPr>
      <w:rFonts w:ascii="Calibri" w:hAnsi="Calibri"/>
      <w:b/>
    </w:rPr>
  </w:style>
  <w:style w:type="character" w:customStyle="1" w:styleId="102">
    <w:name w:val="ListLabel 71"/>
    <w:qFormat/>
    <w:uiPriority w:val="0"/>
    <w:rPr>
      <w:rFonts w:cs="Courier New"/>
    </w:rPr>
  </w:style>
  <w:style w:type="character" w:customStyle="1" w:styleId="103">
    <w:name w:val="ListLabel 72"/>
    <w:qFormat/>
    <w:uiPriority w:val="0"/>
    <w:rPr>
      <w:rFonts w:cs="Courier New"/>
    </w:rPr>
  </w:style>
  <w:style w:type="character" w:customStyle="1" w:styleId="104">
    <w:name w:val="ListLabel 73"/>
    <w:qFormat/>
    <w:uiPriority w:val="0"/>
    <w:rPr>
      <w:rFonts w:cs="Courier New"/>
    </w:rPr>
  </w:style>
  <w:style w:type="character" w:customStyle="1" w:styleId="105">
    <w:name w:val="ListLabel 74"/>
    <w:qFormat/>
    <w:uiPriority w:val="0"/>
    <w:rPr>
      <w:b/>
      <w:sz w:val="24"/>
      <w:szCs w:val="24"/>
    </w:rPr>
  </w:style>
  <w:style w:type="character" w:customStyle="1" w:styleId="106">
    <w:name w:val="ListLabel 75"/>
    <w:qFormat/>
    <w:uiPriority w:val="0"/>
    <w:rPr>
      <w:rFonts w:cs="Courier New"/>
    </w:rPr>
  </w:style>
  <w:style w:type="character" w:customStyle="1" w:styleId="107">
    <w:name w:val="ListLabel 76"/>
    <w:qFormat/>
    <w:uiPriority w:val="0"/>
    <w:rPr>
      <w:rFonts w:cs="Courier New"/>
    </w:rPr>
  </w:style>
  <w:style w:type="character" w:customStyle="1" w:styleId="108">
    <w:name w:val="ListLabel 77"/>
    <w:qFormat/>
    <w:uiPriority w:val="0"/>
    <w:rPr>
      <w:rFonts w:cs="Courier New"/>
    </w:rPr>
  </w:style>
  <w:style w:type="character" w:customStyle="1" w:styleId="109">
    <w:name w:val="ListLabel 78"/>
    <w:qFormat/>
    <w:uiPriority w:val="0"/>
    <w:rPr>
      <w:b/>
      <w:sz w:val="24"/>
      <w:szCs w:val="24"/>
    </w:rPr>
  </w:style>
  <w:style w:type="character" w:customStyle="1" w:styleId="110">
    <w:name w:val="ListLabel 79"/>
    <w:qFormat/>
    <w:uiPriority w:val="0"/>
    <w:rPr>
      <w:sz w:val="24"/>
      <w:szCs w:val="24"/>
    </w:rPr>
  </w:style>
  <w:style w:type="character" w:customStyle="1" w:styleId="111">
    <w:name w:val="ListLabel 80"/>
    <w:qFormat/>
    <w:uiPriority w:val="0"/>
    <w:rPr>
      <w:rFonts w:ascii="Calibri" w:hAnsi="Calibri"/>
      <w:b/>
      <w:bCs/>
    </w:rPr>
  </w:style>
  <w:style w:type="character" w:customStyle="1" w:styleId="112">
    <w:name w:val="ListLabel 81"/>
    <w:qFormat/>
    <w:uiPriority w:val="0"/>
    <w:rPr>
      <w:rFonts w:cs="Courier New"/>
    </w:rPr>
  </w:style>
  <w:style w:type="character" w:customStyle="1" w:styleId="113">
    <w:name w:val="ListLabel 82"/>
    <w:qFormat/>
    <w:uiPriority w:val="0"/>
    <w:rPr>
      <w:rFonts w:cs="Courier New"/>
    </w:rPr>
  </w:style>
  <w:style w:type="character" w:customStyle="1" w:styleId="114">
    <w:name w:val="ListLabel 83"/>
    <w:qFormat/>
    <w:uiPriority w:val="0"/>
    <w:rPr>
      <w:rFonts w:cs="Courier New"/>
    </w:rPr>
  </w:style>
  <w:style w:type="paragraph" w:customStyle="1" w:styleId="115">
    <w:name w:val="Título11"/>
    <w:basedOn w:val="1"/>
    <w:next w:val="7"/>
    <w:qFormat/>
    <w:uiPriority w:val="0"/>
    <w:pPr>
      <w:keepNext/>
      <w:spacing w:before="240" w:after="120"/>
    </w:pPr>
    <w:rPr>
      <w:rFonts w:ascii="Liberation Sans" w:hAnsi="Liberation Sans" w:eastAsia="Microsoft YaHei" w:cs="Mangal"/>
      <w:sz w:val="28"/>
      <w:szCs w:val="28"/>
    </w:rPr>
  </w:style>
  <w:style w:type="paragraph" w:customStyle="1" w:styleId="116">
    <w:name w:val="Índice"/>
    <w:basedOn w:val="9"/>
    <w:qFormat/>
    <w:uiPriority w:val="0"/>
    <w:pPr>
      <w:suppressLineNumbers/>
    </w:pPr>
    <w:rPr>
      <w:rFonts w:cs="Mangal"/>
    </w:rPr>
  </w:style>
  <w:style w:type="paragraph" w:customStyle="1" w:styleId="117">
    <w:name w:val="Text body"/>
    <w:basedOn w:val="9"/>
    <w:qFormat/>
    <w:uiPriority w:val="0"/>
    <w:pPr>
      <w:spacing w:before="0" w:after="120"/>
    </w:pPr>
  </w:style>
  <w:style w:type="paragraph" w:customStyle="1" w:styleId="118">
    <w:name w:val="Legenda1"/>
    <w:basedOn w:val="9"/>
    <w:qFormat/>
    <w:uiPriority w:val="0"/>
    <w:pPr>
      <w:suppressLineNumbers/>
      <w:spacing w:before="120" w:after="120"/>
    </w:pPr>
    <w:rPr>
      <w:rFonts w:cs="Mangal"/>
      <w:i/>
      <w:iCs/>
    </w:rPr>
  </w:style>
  <w:style w:type="paragraph" w:customStyle="1" w:styleId="119">
    <w:name w:val="Cabeçalho1"/>
    <w:basedOn w:val="9"/>
    <w:qFormat/>
    <w:uiPriority w:val="0"/>
    <w:pPr>
      <w:suppressLineNumbers/>
    </w:pPr>
  </w:style>
  <w:style w:type="paragraph" w:customStyle="1" w:styleId="120">
    <w:name w:val="Rodapé1"/>
    <w:basedOn w:val="9"/>
    <w:qFormat/>
    <w:uiPriority w:val="0"/>
    <w:pPr>
      <w:suppressLineNumbers/>
    </w:pPr>
  </w:style>
  <w:style w:type="paragraph" w:styleId="121">
    <w:name w:val="List Paragraph"/>
    <w:basedOn w:val="1"/>
    <w:qFormat/>
    <w:uiPriority w:val="0"/>
    <w:pPr>
      <w:ind w:left="708" w:firstLine="0"/>
      <w:textAlignment w:val="auto"/>
    </w:pPr>
    <w:rPr>
      <w:rFonts w:eastAsia="Bitstream Vera Sans" w:cs="Lucidasans"/>
      <w:color w:val="000000"/>
      <w:lang w:bidi="pt-B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1885</Words>
  <Characters>10514</Characters>
  <Paragraphs>100</Paragraphs>
  <TotalTime>29</TotalTime>
  <ScaleCrop>false</ScaleCrop>
  <LinksUpToDate>false</LinksUpToDate>
  <CharactersWithSpaces>12226</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2024-08-16T13:42:00Z</dcterms:created>
  <dc:creator>cristiane</dc:creator>
  <cp:lastModifiedBy>carlos</cp:lastModifiedBy>
  <cp:lastPrinted>2021-10-27T17:43:00Z</cp:lastPrinted>
  <dcterms:modified xsi:type="dcterms:W3CDTF">2024-11-22T19:09:50Z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1046-12.2.0.18911</vt:lpwstr>
  </property>
  <property fmtid="{D5CDD505-2E9C-101B-9397-08002B2CF9AE}" pid="9" name="ICV">
    <vt:lpwstr>F40F11C2E432447BBC1B5B92E9207335_12</vt:lpwstr>
  </property>
</Properties>
</file>